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19445" w14:textId="77777777" w:rsidR="00CF58CF" w:rsidRDefault="00CF58CF" w:rsidP="00931E24">
      <w:pPr>
        <w:spacing w:after="240" w:line="240" w:lineRule="auto"/>
        <w:jc w:val="left"/>
        <w:rPr>
          <w:b/>
          <w:bCs/>
          <w:sz w:val="32"/>
          <w:szCs w:val="32"/>
        </w:rPr>
      </w:pPr>
    </w:p>
    <w:p w14:paraId="22DBB5EB" w14:textId="77777777" w:rsidR="00CF58CF" w:rsidRDefault="00CF58CF" w:rsidP="00931E24">
      <w:pPr>
        <w:spacing w:after="240" w:line="240" w:lineRule="auto"/>
        <w:jc w:val="left"/>
        <w:rPr>
          <w:b/>
          <w:bCs/>
          <w:sz w:val="32"/>
          <w:szCs w:val="32"/>
        </w:rPr>
      </w:pPr>
    </w:p>
    <w:p w14:paraId="2B8E1AE6" w14:textId="6BA110FE" w:rsidR="00580246" w:rsidRPr="003B0CB8" w:rsidRDefault="00C15CF1" w:rsidP="00931E24">
      <w:pPr>
        <w:spacing w:after="240" w:line="240" w:lineRule="auto"/>
        <w:jc w:val="left"/>
        <w:rPr>
          <w:b/>
          <w:bCs/>
          <w:sz w:val="32"/>
          <w:szCs w:val="32"/>
        </w:rPr>
      </w:pPr>
      <w:r w:rsidRPr="00C15CF1">
        <w:rPr>
          <w:b/>
          <w:bCs/>
          <w:iCs/>
          <w:sz w:val="32"/>
          <w:szCs w:val="32"/>
        </w:rPr>
        <w:t xml:space="preserve">Return on </w:t>
      </w:r>
      <w:r w:rsidR="00954C79">
        <w:rPr>
          <w:b/>
          <w:bCs/>
          <w:iCs/>
          <w:sz w:val="32"/>
          <w:szCs w:val="32"/>
        </w:rPr>
        <w:t>i</w:t>
      </w:r>
      <w:r w:rsidRPr="00C15CF1">
        <w:rPr>
          <w:b/>
          <w:bCs/>
          <w:iCs/>
          <w:sz w:val="32"/>
          <w:szCs w:val="32"/>
        </w:rPr>
        <w:t xml:space="preserve">nvestment in </w:t>
      </w:r>
      <w:r w:rsidR="00517E57">
        <w:rPr>
          <w:b/>
          <w:bCs/>
          <w:iCs/>
          <w:sz w:val="32"/>
          <w:szCs w:val="32"/>
        </w:rPr>
        <w:t>i</w:t>
      </w:r>
      <w:r w:rsidRPr="00C15CF1">
        <w:rPr>
          <w:b/>
          <w:bCs/>
          <w:iCs/>
          <w:sz w:val="32"/>
          <w:szCs w:val="32"/>
        </w:rPr>
        <w:t>nternational standard setting engagement</w:t>
      </w:r>
      <w:r w:rsidR="003E7545">
        <w:rPr>
          <w:b/>
          <w:bCs/>
          <w:iCs/>
          <w:sz w:val="32"/>
          <w:szCs w:val="32"/>
        </w:rPr>
        <w:t>—</w:t>
      </w:r>
      <w:r w:rsidRPr="00C15CF1">
        <w:rPr>
          <w:b/>
          <w:bCs/>
          <w:iCs/>
          <w:sz w:val="32"/>
          <w:szCs w:val="32"/>
        </w:rPr>
        <w:t xml:space="preserve">A case study on </w:t>
      </w:r>
      <w:r w:rsidR="007C73AB">
        <w:rPr>
          <w:b/>
          <w:bCs/>
          <w:iCs/>
          <w:sz w:val="32"/>
          <w:szCs w:val="32"/>
        </w:rPr>
        <w:t>bovine spongiform encephalopathy</w:t>
      </w:r>
      <w:r w:rsidR="007C73AB" w:rsidRPr="00C15CF1">
        <w:rPr>
          <w:b/>
          <w:bCs/>
          <w:iCs/>
          <w:sz w:val="32"/>
          <w:szCs w:val="32"/>
        </w:rPr>
        <w:t xml:space="preserve"> </w:t>
      </w:r>
      <w:r w:rsidRPr="00C15CF1">
        <w:rPr>
          <w:b/>
          <w:bCs/>
          <w:iCs/>
          <w:sz w:val="32"/>
          <w:szCs w:val="32"/>
        </w:rPr>
        <w:t>status</w:t>
      </w:r>
      <w:r w:rsidRPr="00C15CF1">
        <w:rPr>
          <w:b/>
          <w:bCs/>
          <w:i/>
          <w:sz w:val="32"/>
          <w:szCs w:val="32"/>
        </w:rPr>
        <w:t>.</w:t>
      </w:r>
    </w:p>
    <w:p w14:paraId="230291E8" w14:textId="6DBFF71B" w:rsidR="00931E24" w:rsidRPr="003B0CB8" w:rsidRDefault="00517E57" w:rsidP="00931E24">
      <w:pPr>
        <w:jc w:val="left"/>
        <w:rPr>
          <w:bCs/>
          <w:i/>
          <w:sz w:val="28"/>
          <w:szCs w:val="28"/>
        </w:rPr>
      </w:pPr>
      <w:r>
        <w:rPr>
          <w:bCs/>
          <w:i/>
          <w:sz w:val="28"/>
          <w:szCs w:val="28"/>
        </w:rPr>
        <w:t xml:space="preserve">Draft </w:t>
      </w:r>
      <w:r w:rsidR="00D65961">
        <w:rPr>
          <w:bCs/>
          <w:i/>
          <w:sz w:val="28"/>
          <w:szCs w:val="28"/>
        </w:rPr>
        <w:t>Final</w:t>
      </w:r>
      <w:r w:rsidR="00931E24" w:rsidRPr="003B0CB8">
        <w:rPr>
          <w:bCs/>
          <w:i/>
          <w:sz w:val="28"/>
          <w:szCs w:val="28"/>
        </w:rPr>
        <w:t xml:space="preserve"> Report for CEBRA Project </w:t>
      </w:r>
      <w:r>
        <w:rPr>
          <w:bCs/>
          <w:i/>
          <w:sz w:val="28"/>
          <w:szCs w:val="28"/>
        </w:rPr>
        <w:t>23B</w:t>
      </w:r>
    </w:p>
    <w:p w14:paraId="4DDA8C48" w14:textId="77777777" w:rsidR="008D2C8C" w:rsidRPr="00D5436E" w:rsidRDefault="008D2C8C" w:rsidP="00931E24">
      <w:pPr>
        <w:jc w:val="left"/>
        <w:rPr>
          <w:b/>
        </w:rPr>
      </w:pPr>
    </w:p>
    <w:p w14:paraId="544493B3" w14:textId="2DA826D8" w:rsidR="008D2C8C" w:rsidRPr="00517E57" w:rsidRDefault="71AE851B" w:rsidP="00931E24">
      <w:pPr>
        <w:jc w:val="left"/>
        <w:rPr>
          <w:bCs/>
          <w:vertAlign w:val="superscript"/>
        </w:rPr>
      </w:pPr>
      <w:r w:rsidRPr="00931E24">
        <w:rPr>
          <w:bCs/>
        </w:rPr>
        <w:t>Susie Hester</w:t>
      </w:r>
      <w:r w:rsidR="00580246" w:rsidRPr="00931E24">
        <w:rPr>
          <w:bCs/>
          <w:vertAlign w:val="superscript"/>
        </w:rPr>
        <w:t>1</w:t>
      </w:r>
      <w:r w:rsidRPr="00931E24">
        <w:rPr>
          <w:bCs/>
          <w:vertAlign w:val="superscript"/>
        </w:rPr>
        <w:t>,</w:t>
      </w:r>
      <w:r w:rsidR="00990049" w:rsidRPr="00931E24">
        <w:rPr>
          <w:bCs/>
          <w:vertAlign w:val="superscript"/>
        </w:rPr>
        <w:t xml:space="preserve"> </w:t>
      </w:r>
      <w:r w:rsidR="00580246" w:rsidRPr="00931E24">
        <w:rPr>
          <w:bCs/>
          <w:vertAlign w:val="superscript"/>
        </w:rPr>
        <w:t>2</w:t>
      </w:r>
      <w:r w:rsidR="00B21D5E">
        <w:rPr>
          <w:bCs/>
        </w:rPr>
        <w:t xml:space="preserve"> and</w:t>
      </w:r>
      <w:r w:rsidR="00BF7C00" w:rsidRPr="00931E24">
        <w:rPr>
          <w:bCs/>
        </w:rPr>
        <w:t xml:space="preserve"> </w:t>
      </w:r>
      <w:r w:rsidR="00517E57">
        <w:rPr>
          <w:bCs/>
        </w:rPr>
        <w:t>Lucie Newsome</w:t>
      </w:r>
      <w:r w:rsidR="00517E57" w:rsidRPr="00931E24">
        <w:rPr>
          <w:bCs/>
          <w:vertAlign w:val="superscript"/>
        </w:rPr>
        <w:t>2</w:t>
      </w:r>
    </w:p>
    <w:p w14:paraId="4E592956" w14:textId="77777777" w:rsidR="00557149" w:rsidRDefault="00557149" w:rsidP="00931E24">
      <w:pPr>
        <w:spacing w:after="0" w:line="240" w:lineRule="auto"/>
        <w:jc w:val="left"/>
        <w:rPr>
          <w:bCs/>
          <w:i/>
        </w:rPr>
      </w:pPr>
    </w:p>
    <w:p w14:paraId="35AF1AEE" w14:textId="77777777" w:rsidR="00557149" w:rsidRDefault="00557149" w:rsidP="00931E24">
      <w:pPr>
        <w:spacing w:after="0" w:line="240" w:lineRule="auto"/>
        <w:jc w:val="left"/>
        <w:rPr>
          <w:bCs/>
          <w:i/>
        </w:rPr>
      </w:pPr>
    </w:p>
    <w:p w14:paraId="2A8B30E4" w14:textId="77777777" w:rsidR="00931E24" w:rsidRPr="00443B83" w:rsidRDefault="00931E24" w:rsidP="00931E24">
      <w:pPr>
        <w:jc w:val="left"/>
        <w:rPr>
          <w:bCs/>
          <w:iCs/>
          <w:highlight w:val="yellow"/>
          <w:u w:val="words"/>
        </w:rPr>
      </w:pPr>
    </w:p>
    <w:p w14:paraId="26BEE952" w14:textId="75E2E525" w:rsidR="00580246" w:rsidRPr="00931E24" w:rsidRDefault="00931E24" w:rsidP="00931E24">
      <w:pPr>
        <w:spacing w:before="0" w:after="0" w:line="240" w:lineRule="auto"/>
        <w:jc w:val="left"/>
        <w:rPr>
          <w:bCs/>
        </w:rPr>
      </w:pPr>
      <w:r w:rsidRPr="00931E24">
        <w:rPr>
          <w:bCs/>
          <w:vertAlign w:val="superscript"/>
        </w:rPr>
        <w:t>1</w:t>
      </w:r>
      <w:r w:rsidR="00580246" w:rsidRPr="00931E24">
        <w:rPr>
          <w:bCs/>
        </w:rPr>
        <w:t>UNE Business School, University of New England</w:t>
      </w:r>
    </w:p>
    <w:p w14:paraId="2A5B3E50" w14:textId="011CD889" w:rsidR="00121C6D" w:rsidRPr="00931E24" w:rsidRDefault="00931E24" w:rsidP="00931E24">
      <w:pPr>
        <w:spacing w:before="0" w:after="0" w:line="240" w:lineRule="auto"/>
        <w:jc w:val="left"/>
        <w:rPr>
          <w:bCs/>
        </w:rPr>
      </w:pPr>
      <w:r>
        <w:rPr>
          <w:bCs/>
          <w:vertAlign w:val="superscript"/>
        </w:rPr>
        <w:t>2</w:t>
      </w:r>
      <w:r w:rsidR="71AE851B" w:rsidRPr="00931E24">
        <w:rPr>
          <w:bCs/>
        </w:rPr>
        <w:t>CEBRA, The University of Melbourne</w:t>
      </w:r>
    </w:p>
    <w:p w14:paraId="213580A0" w14:textId="77777777" w:rsidR="008D2C8C" w:rsidRDefault="008D2C8C" w:rsidP="00931E24">
      <w:pPr>
        <w:jc w:val="left"/>
        <w:rPr>
          <w:bCs/>
          <w:vertAlign w:val="superscript"/>
        </w:rPr>
      </w:pPr>
    </w:p>
    <w:p w14:paraId="27B3837F" w14:textId="77777777" w:rsidR="00080C1E" w:rsidRPr="00D5436E" w:rsidRDefault="00080C1E" w:rsidP="00931E24">
      <w:pPr>
        <w:jc w:val="left"/>
      </w:pPr>
    </w:p>
    <w:p w14:paraId="1C944D39" w14:textId="79D9E273" w:rsidR="008D2C8C" w:rsidRPr="00D5436E" w:rsidRDefault="003236DC" w:rsidP="00931E24">
      <w:pPr>
        <w:jc w:val="left"/>
      </w:pPr>
      <w:r>
        <w:t>August</w:t>
      </w:r>
      <w:r w:rsidRPr="00D964ED">
        <w:t xml:space="preserve"> </w:t>
      </w:r>
      <w:r w:rsidR="005251E6" w:rsidRPr="00D964ED">
        <w:t>202</w:t>
      </w:r>
      <w:r w:rsidR="00D15969">
        <w:t>5</w:t>
      </w:r>
    </w:p>
    <w:p w14:paraId="0063480C" w14:textId="77777777" w:rsidR="008D2C8C" w:rsidRDefault="008D2C8C" w:rsidP="00931E24">
      <w:pPr>
        <w:jc w:val="left"/>
        <w:rPr>
          <w:sz w:val="28"/>
          <w:szCs w:val="28"/>
        </w:rPr>
      </w:pPr>
    </w:p>
    <w:p w14:paraId="5812FFB6" w14:textId="134FBFDA" w:rsidR="00CF58CF" w:rsidRDefault="00CF58CF" w:rsidP="00931E24">
      <w:pPr>
        <w:jc w:val="left"/>
        <w:rPr>
          <w:sz w:val="28"/>
          <w:szCs w:val="28"/>
        </w:rPr>
      </w:pPr>
    </w:p>
    <w:p w14:paraId="2607D926" w14:textId="0BC08DE0" w:rsidR="00CF58CF" w:rsidRDefault="00CF58CF" w:rsidP="00931E24">
      <w:pPr>
        <w:jc w:val="left"/>
        <w:rPr>
          <w:sz w:val="28"/>
          <w:szCs w:val="28"/>
        </w:rPr>
      </w:pPr>
    </w:p>
    <w:p w14:paraId="750F772E" w14:textId="3F09330B" w:rsidR="00CF58CF" w:rsidRDefault="00CF58CF" w:rsidP="00931E24">
      <w:pPr>
        <w:jc w:val="left"/>
        <w:rPr>
          <w:sz w:val="28"/>
          <w:szCs w:val="28"/>
        </w:rPr>
      </w:pPr>
    </w:p>
    <w:p w14:paraId="5EF80795" w14:textId="77777777" w:rsidR="00CF58CF" w:rsidRDefault="00CF58CF" w:rsidP="00931E24">
      <w:pPr>
        <w:jc w:val="left"/>
        <w:rPr>
          <w:sz w:val="28"/>
          <w:szCs w:val="28"/>
        </w:rPr>
      </w:pPr>
    </w:p>
    <w:p w14:paraId="7E7D5FA6" w14:textId="77777777" w:rsidR="009413CC" w:rsidRDefault="008D2C8C" w:rsidP="00E30671">
      <w:pPr>
        <w:pStyle w:val="Header"/>
        <w:tabs>
          <w:tab w:val="clear" w:pos="4513"/>
          <w:tab w:val="clear" w:pos="9026"/>
          <w:tab w:val="right" w:pos="10206"/>
        </w:tabs>
        <w:ind w:left="-1418" w:right="-1425"/>
        <w:jc w:val="center"/>
        <w:sectPr w:rsidR="009413CC" w:rsidSect="009413CC">
          <w:headerReference w:type="even" r:id="rId12"/>
          <w:headerReference w:type="default" r:id="rId13"/>
          <w:footerReference w:type="even" r:id="rId14"/>
          <w:footerReference w:type="default" r:id="rId15"/>
          <w:headerReference w:type="first" r:id="rId16"/>
          <w:type w:val="oddPage"/>
          <w:pgSz w:w="11906" w:h="16838"/>
          <w:pgMar w:top="1440" w:right="1800" w:bottom="1440" w:left="1800" w:header="720" w:footer="720" w:gutter="0"/>
          <w:cols w:space="720"/>
          <w:titlePg/>
          <w:docGrid w:linePitch="326"/>
        </w:sectPr>
      </w:pPr>
      <w:r>
        <w:rPr>
          <w:noProof/>
          <w:lang w:val="en-AU" w:eastAsia="en-AU"/>
        </w:rPr>
        <w:drawing>
          <wp:inline distT="0" distB="0" distL="0" distR="0" wp14:anchorId="71099386" wp14:editId="176D7644">
            <wp:extent cx="3558236" cy="1404992"/>
            <wp:effectExtent l="0" t="0" r="0" b="0"/>
            <wp:docPr id="1" name="Picture 1" descr="Description: CEBRA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EBRALogo-01.png"/>
                    <pic:cNvPicPr>
                      <a:picLocks noChangeAspect="1" noChangeArrowheads="1"/>
                    </pic:cNvPicPr>
                  </pic:nvPicPr>
                  <pic:blipFill>
                    <a:blip r:embed="rId17" cstate="print"/>
                    <a:srcRect t="28146" b="44072"/>
                    <a:stretch>
                      <a:fillRect/>
                    </a:stretch>
                  </pic:blipFill>
                  <pic:spPr bwMode="auto">
                    <a:xfrm>
                      <a:off x="0" y="0"/>
                      <a:ext cx="3634360" cy="1435050"/>
                    </a:xfrm>
                    <a:prstGeom prst="rect">
                      <a:avLst/>
                    </a:prstGeom>
                    <a:noFill/>
                    <a:ln w="9525">
                      <a:noFill/>
                      <a:miter lim="800000"/>
                      <a:headEnd/>
                      <a:tailEnd/>
                    </a:ln>
                  </pic:spPr>
                </pic:pic>
              </a:graphicData>
            </a:graphic>
          </wp:inline>
        </w:drawing>
      </w:r>
    </w:p>
    <w:p w14:paraId="664B7285" w14:textId="2E43EA39" w:rsidR="00BA0CF4" w:rsidRPr="00E30671" w:rsidRDefault="00BA0CF4" w:rsidP="00E30671">
      <w:pPr>
        <w:pStyle w:val="Header"/>
        <w:tabs>
          <w:tab w:val="clear" w:pos="4513"/>
          <w:tab w:val="clear" w:pos="9026"/>
          <w:tab w:val="right" w:pos="10206"/>
        </w:tabs>
        <w:ind w:left="-1418" w:right="-1425"/>
        <w:jc w:val="center"/>
      </w:pPr>
    </w:p>
    <w:p w14:paraId="009AB1C5" w14:textId="77777777" w:rsidR="005F0122" w:rsidRDefault="71AE851B" w:rsidP="000024FA">
      <w:pPr>
        <w:pStyle w:val="Heading1"/>
        <w:numPr>
          <w:ilvl w:val="0"/>
          <w:numId w:val="0"/>
        </w:numPr>
      </w:pPr>
      <w:bookmarkStart w:id="0" w:name="_Toc184311733"/>
      <w:bookmarkStart w:id="1" w:name="_Toc206083771"/>
      <w:r>
        <w:t>Acknowledgements</w:t>
      </w:r>
      <w:bookmarkEnd w:id="0"/>
      <w:bookmarkEnd w:id="1"/>
    </w:p>
    <w:p w14:paraId="49A29567" w14:textId="68EC97A9" w:rsidR="005F0122" w:rsidRDefault="71AE851B" w:rsidP="005F0122">
      <w:pPr>
        <w:autoSpaceDE w:val="0"/>
        <w:autoSpaceDN w:val="0"/>
        <w:adjustRightInd w:val="0"/>
      </w:pPr>
      <w:r>
        <w:t>This report is a product of the Centre of Excellence for Biosecurity Risk Analysis (CEBRA). In preparing this report, the authors acknowledge the financial and other forms of support provided by the Department of Agriculture</w:t>
      </w:r>
      <w:r w:rsidR="00FA5255">
        <w:t>,</w:t>
      </w:r>
      <w:r w:rsidR="00A7377C">
        <w:t xml:space="preserve"> </w:t>
      </w:r>
      <w:r w:rsidR="002E0E6B">
        <w:t>Fisheries and Forestry</w:t>
      </w:r>
      <w:r>
        <w:t>, and the University of Melbourne.</w:t>
      </w:r>
    </w:p>
    <w:p w14:paraId="04E85834" w14:textId="6E977B50" w:rsidR="00B94920" w:rsidRPr="00BA2EE6" w:rsidRDefault="71AE851B" w:rsidP="00F67119">
      <w:r w:rsidRPr="00DF0E9C">
        <w:t xml:space="preserve">The authors are grateful to the following people </w:t>
      </w:r>
      <w:r w:rsidR="00987630">
        <w:t>who assisted with the</w:t>
      </w:r>
      <w:r w:rsidR="00862B0A">
        <w:t xml:space="preserve"> data requirements and our understanding of the avoided negative outcomes: Tim Ryan, </w:t>
      </w:r>
      <w:r w:rsidR="00511281">
        <w:t xml:space="preserve">Sam Munsie, </w:t>
      </w:r>
      <w:r w:rsidR="00F57170" w:rsidRPr="00F57170">
        <w:t>Tim Juzefowicz</w:t>
      </w:r>
      <w:r w:rsidR="006F1FF4">
        <w:t>, Jess Bloomfield, Duncan Rowland</w:t>
      </w:r>
      <w:r w:rsidR="00395E24">
        <w:t>,</w:t>
      </w:r>
      <w:r w:rsidR="00FD312D">
        <w:t xml:space="preserve"> </w:t>
      </w:r>
      <w:r w:rsidR="00395E24">
        <w:t>John Langbridge</w:t>
      </w:r>
      <w:r w:rsidR="006F1FF4">
        <w:t xml:space="preserve"> a</w:t>
      </w:r>
      <w:r w:rsidR="00B94920">
        <w:t xml:space="preserve">nd to the seven interviewees. </w:t>
      </w:r>
      <w:r w:rsidR="00BF680C" w:rsidRPr="00BA2EE6">
        <w:t>The authors are also grateful to staff within the Department of Agriculture, Fisheries and Forestry for their review</w:t>
      </w:r>
      <w:r w:rsidR="00A95C73">
        <w:t>, particularly Gary He and Rob Atkinson</w:t>
      </w:r>
      <w:r w:rsidR="00BF680C" w:rsidRPr="00BA2EE6">
        <w:t>.</w:t>
      </w:r>
    </w:p>
    <w:p w14:paraId="4E9788B8" w14:textId="77777777" w:rsidR="00736F39" w:rsidRPr="00BA2EE6" w:rsidRDefault="00736F39" w:rsidP="00736F39"/>
    <w:p w14:paraId="0D1B72D7" w14:textId="77777777" w:rsidR="00C01AAA" w:rsidRPr="00BA2EE6" w:rsidRDefault="00C01AAA" w:rsidP="00736F39"/>
    <w:p w14:paraId="588DFEB3" w14:textId="77777777" w:rsidR="00C01AAA" w:rsidRPr="00BA2EE6" w:rsidRDefault="00C01AAA" w:rsidP="00736F39"/>
    <w:p w14:paraId="514B02A3" w14:textId="77777777" w:rsidR="00C01AAA" w:rsidRPr="00BA2EE6" w:rsidRDefault="00C01AAA" w:rsidP="00736F39"/>
    <w:p w14:paraId="314EF89D" w14:textId="77777777" w:rsidR="004020D3" w:rsidRPr="00BA2EE6" w:rsidRDefault="004020D3" w:rsidP="004020D3">
      <w:pPr>
        <w:pStyle w:val="Heading1"/>
        <w:numPr>
          <w:ilvl w:val="0"/>
          <w:numId w:val="0"/>
        </w:numPr>
      </w:pPr>
      <w:bookmarkStart w:id="2" w:name="_Toc203557955"/>
      <w:bookmarkStart w:id="3" w:name="_Toc206083772"/>
      <w:r w:rsidRPr="00BA2EE6">
        <w:t>Disclaimer</w:t>
      </w:r>
      <w:bookmarkEnd w:id="2"/>
      <w:bookmarkEnd w:id="3"/>
    </w:p>
    <w:p w14:paraId="3DA47EDE" w14:textId="77777777" w:rsidR="004020D3" w:rsidRDefault="004020D3" w:rsidP="004020D3">
      <w:r w:rsidRPr="00BA2EE6">
        <w:t xml:space="preserve">The views and experiences of departmental staff captured in this report reflect the perspectives of individuals involved in the BSE standard revision process during the 2018–2023 period. They do not necessarily reflect the current or past policies, attitudes, or official positions of the department. Many of those involved at the time have since moved on from their roles, and the leadership, priorities, and positions of relevant government departments may have evolved. </w:t>
      </w:r>
    </w:p>
    <w:p w14:paraId="0EB120EF" w14:textId="77777777" w:rsidR="00736F39" w:rsidRDefault="00736F39" w:rsidP="00F67119"/>
    <w:p w14:paraId="1E0CF627" w14:textId="21719AA3" w:rsidR="00B94920" w:rsidRDefault="00B94920" w:rsidP="00F67119">
      <w:pPr>
        <w:sectPr w:rsidR="00B94920" w:rsidSect="009413CC">
          <w:pgSz w:w="11906" w:h="16838"/>
          <w:pgMar w:top="1440" w:right="1800" w:bottom="1440" w:left="1800" w:header="720" w:footer="720" w:gutter="0"/>
          <w:cols w:space="720"/>
          <w:docGrid w:linePitch="272"/>
        </w:sectPr>
      </w:pPr>
    </w:p>
    <w:p w14:paraId="13964486" w14:textId="1AC19225" w:rsidR="008539CE" w:rsidRDefault="71AE851B" w:rsidP="000024FA">
      <w:pPr>
        <w:pStyle w:val="Heading1"/>
        <w:numPr>
          <w:ilvl w:val="0"/>
          <w:numId w:val="0"/>
        </w:numPr>
      </w:pPr>
      <w:bookmarkStart w:id="4" w:name="_Toc184311734"/>
      <w:bookmarkStart w:id="5" w:name="_Toc206083773"/>
      <w:r>
        <w:lastRenderedPageBreak/>
        <w:t>Table of Contents</w:t>
      </w:r>
      <w:bookmarkEnd w:id="4"/>
      <w:bookmarkEnd w:id="5"/>
    </w:p>
    <w:p w14:paraId="4FAC96E6" w14:textId="16427D91" w:rsidR="00FC5BC8" w:rsidRDefault="00F34BAA">
      <w:pPr>
        <w:pStyle w:val="TOC1"/>
        <w:rPr>
          <w:rFonts w:eastAsiaTheme="minorEastAsia" w:cstheme="minorBidi"/>
          <w:b w:val="0"/>
          <w:bCs w:val="0"/>
          <w:caps w:val="0"/>
          <w:noProof/>
          <w:kern w:val="2"/>
          <w:sz w:val="24"/>
          <w:lang w:eastAsia="en-AU"/>
          <w14:ligatures w14:val="standardContextual"/>
        </w:rPr>
      </w:pPr>
      <w:r>
        <w:rPr>
          <w:rStyle w:val="Hyperlink"/>
          <w:rFonts w:ascii="Calibri" w:hAnsi="Calibri" w:cs="Calibri"/>
          <w:b w:val="0"/>
          <w:noProof/>
          <w:lang w:val="en-GB" w:eastAsia="en-AU"/>
        </w:rPr>
        <w:fldChar w:fldCharType="begin"/>
      </w:r>
      <w:r>
        <w:rPr>
          <w:rStyle w:val="Hyperlink"/>
          <w:rFonts w:ascii="Calibri" w:hAnsi="Calibri" w:cs="Calibri"/>
          <w:b w:val="0"/>
          <w:noProof/>
          <w:lang w:val="en-GB" w:eastAsia="en-AU"/>
        </w:rPr>
        <w:instrText xml:space="preserve"> TOC \o "1-2" \h \z \u </w:instrText>
      </w:r>
      <w:r>
        <w:rPr>
          <w:rStyle w:val="Hyperlink"/>
          <w:rFonts w:ascii="Calibri" w:hAnsi="Calibri" w:cs="Calibri"/>
          <w:b w:val="0"/>
          <w:noProof/>
          <w:lang w:val="en-GB" w:eastAsia="en-AU"/>
        </w:rPr>
        <w:fldChar w:fldCharType="separate"/>
      </w:r>
      <w:hyperlink w:anchor="_Toc206083771" w:history="1">
        <w:r w:rsidR="00FC5BC8" w:rsidRPr="00163393">
          <w:rPr>
            <w:rStyle w:val="Hyperlink"/>
            <w:noProof/>
          </w:rPr>
          <w:t>Acknowledgements</w:t>
        </w:r>
        <w:r w:rsidR="00FC5BC8">
          <w:rPr>
            <w:noProof/>
            <w:webHidden/>
          </w:rPr>
          <w:tab/>
        </w:r>
        <w:r w:rsidR="00FC5BC8">
          <w:rPr>
            <w:noProof/>
            <w:webHidden/>
          </w:rPr>
          <w:fldChar w:fldCharType="begin"/>
        </w:r>
        <w:r w:rsidR="00FC5BC8">
          <w:rPr>
            <w:noProof/>
            <w:webHidden/>
          </w:rPr>
          <w:instrText xml:space="preserve"> PAGEREF _Toc206083771 \h </w:instrText>
        </w:r>
        <w:r w:rsidR="00FC5BC8">
          <w:rPr>
            <w:noProof/>
            <w:webHidden/>
          </w:rPr>
        </w:r>
        <w:r w:rsidR="00FC5BC8">
          <w:rPr>
            <w:noProof/>
            <w:webHidden/>
          </w:rPr>
          <w:fldChar w:fldCharType="separate"/>
        </w:r>
        <w:r w:rsidR="00C170DF">
          <w:rPr>
            <w:noProof/>
            <w:webHidden/>
          </w:rPr>
          <w:t>2</w:t>
        </w:r>
        <w:r w:rsidR="00FC5BC8">
          <w:rPr>
            <w:noProof/>
            <w:webHidden/>
          </w:rPr>
          <w:fldChar w:fldCharType="end"/>
        </w:r>
      </w:hyperlink>
    </w:p>
    <w:p w14:paraId="2B25CC2C" w14:textId="66D8BFAA" w:rsidR="00FC5BC8" w:rsidRDefault="00FC5BC8">
      <w:pPr>
        <w:pStyle w:val="TOC1"/>
        <w:rPr>
          <w:rFonts w:eastAsiaTheme="minorEastAsia" w:cstheme="minorBidi"/>
          <w:b w:val="0"/>
          <w:bCs w:val="0"/>
          <w:caps w:val="0"/>
          <w:noProof/>
          <w:kern w:val="2"/>
          <w:sz w:val="24"/>
          <w:lang w:eastAsia="en-AU"/>
          <w14:ligatures w14:val="standardContextual"/>
        </w:rPr>
      </w:pPr>
      <w:hyperlink w:anchor="_Toc206083772" w:history="1">
        <w:r w:rsidRPr="00163393">
          <w:rPr>
            <w:rStyle w:val="Hyperlink"/>
            <w:noProof/>
          </w:rPr>
          <w:t>Disclaimer</w:t>
        </w:r>
        <w:r>
          <w:rPr>
            <w:noProof/>
            <w:webHidden/>
          </w:rPr>
          <w:tab/>
        </w:r>
        <w:r>
          <w:rPr>
            <w:noProof/>
            <w:webHidden/>
          </w:rPr>
          <w:fldChar w:fldCharType="begin"/>
        </w:r>
        <w:r>
          <w:rPr>
            <w:noProof/>
            <w:webHidden/>
          </w:rPr>
          <w:instrText xml:space="preserve"> PAGEREF _Toc206083772 \h </w:instrText>
        </w:r>
        <w:r>
          <w:rPr>
            <w:noProof/>
            <w:webHidden/>
          </w:rPr>
        </w:r>
        <w:r>
          <w:rPr>
            <w:noProof/>
            <w:webHidden/>
          </w:rPr>
          <w:fldChar w:fldCharType="separate"/>
        </w:r>
        <w:r w:rsidR="00C170DF">
          <w:rPr>
            <w:noProof/>
            <w:webHidden/>
          </w:rPr>
          <w:t>2</w:t>
        </w:r>
        <w:r>
          <w:rPr>
            <w:noProof/>
            <w:webHidden/>
          </w:rPr>
          <w:fldChar w:fldCharType="end"/>
        </w:r>
      </w:hyperlink>
    </w:p>
    <w:p w14:paraId="64168CEC" w14:textId="728C6F78" w:rsidR="00FC5BC8" w:rsidRDefault="00FC5BC8">
      <w:pPr>
        <w:pStyle w:val="TOC1"/>
        <w:rPr>
          <w:rFonts w:eastAsiaTheme="minorEastAsia" w:cstheme="minorBidi"/>
          <w:b w:val="0"/>
          <w:bCs w:val="0"/>
          <w:caps w:val="0"/>
          <w:noProof/>
          <w:kern w:val="2"/>
          <w:sz w:val="24"/>
          <w:lang w:eastAsia="en-AU"/>
          <w14:ligatures w14:val="standardContextual"/>
        </w:rPr>
      </w:pPr>
      <w:hyperlink w:anchor="_Toc206083773" w:history="1">
        <w:r w:rsidRPr="00163393">
          <w:rPr>
            <w:rStyle w:val="Hyperlink"/>
            <w:noProof/>
          </w:rPr>
          <w:t>Table of Contents</w:t>
        </w:r>
        <w:r>
          <w:rPr>
            <w:noProof/>
            <w:webHidden/>
          </w:rPr>
          <w:tab/>
        </w:r>
        <w:r>
          <w:rPr>
            <w:noProof/>
            <w:webHidden/>
          </w:rPr>
          <w:fldChar w:fldCharType="begin"/>
        </w:r>
        <w:r>
          <w:rPr>
            <w:noProof/>
            <w:webHidden/>
          </w:rPr>
          <w:instrText xml:space="preserve"> PAGEREF _Toc206083773 \h </w:instrText>
        </w:r>
        <w:r>
          <w:rPr>
            <w:noProof/>
            <w:webHidden/>
          </w:rPr>
        </w:r>
        <w:r>
          <w:rPr>
            <w:noProof/>
            <w:webHidden/>
          </w:rPr>
          <w:fldChar w:fldCharType="separate"/>
        </w:r>
        <w:r w:rsidR="00C170DF">
          <w:rPr>
            <w:noProof/>
            <w:webHidden/>
          </w:rPr>
          <w:t>3</w:t>
        </w:r>
        <w:r>
          <w:rPr>
            <w:noProof/>
            <w:webHidden/>
          </w:rPr>
          <w:fldChar w:fldCharType="end"/>
        </w:r>
      </w:hyperlink>
    </w:p>
    <w:p w14:paraId="50292AE0" w14:textId="7DAB3C70" w:rsidR="00FC5BC8" w:rsidRDefault="00FC5BC8">
      <w:pPr>
        <w:pStyle w:val="TOC1"/>
        <w:rPr>
          <w:rFonts w:eastAsiaTheme="minorEastAsia" w:cstheme="minorBidi"/>
          <w:b w:val="0"/>
          <w:bCs w:val="0"/>
          <w:caps w:val="0"/>
          <w:noProof/>
          <w:kern w:val="2"/>
          <w:sz w:val="24"/>
          <w:lang w:eastAsia="en-AU"/>
          <w14:ligatures w14:val="standardContextual"/>
        </w:rPr>
      </w:pPr>
      <w:hyperlink w:anchor="_Toc206083774" w:history="1">
        <w:r w:rsidRPr="00163393">
          <w:rPr>
            <w:rStyle w:val="Hyperlink"/>
            <w:noProof/>
          </w:rPr>
          <w:t>List of Tables</w:t>
        </w:r>
        <w:r>
          <w:rPr>
            <w:noProof/>
            <w:webHidden/>
          </w:rPr>
          <w:tab/>
        </w:r>
        <w:r>
          <w:rPr>
            <w:noProof/>
            <w:webHidden/>
          </w:rPr>
          <w:fldChar w:fldCharType="begin"/>
        </w:r>
        <w:r>
          <w:rPr>
            <w:noProof/>
            <w:webHidden/>
          </w:rPr>
          <w:instrText xml:space="preserve"> PAGEREF _Toc206083774 \h </w:instrText>
        </w:r>
        <w:r>
          <w:rPr>
            <w:noProof/>
            <w:webHidden/>
          </w:rPr>
        </w:r>
        <w:r>
          <w:rPr>
            <w:noProof/>
            <w:webHidden/>
          </w:rPr>
          <w:fldChar w:fldCharType="separate"/>
        </w:r>
        <w:r w:rsidR="00C170DF">
          <w:rPr>
            <w:noProof/>
            <w:webHidden/>
          </w:rPr>
          <w:t>4</w:t>
        </w:r>
        <w:r>
          <w:rPr>
            <w:noProof/>
            <w:webHidden/>
          </w:rPr>
          <w:fldChar w:fldCharType="end"/>
        </w:r>
      </w:hyperlink>
    </w:p>
    <w:p w14:paraId="565EB7DA" w14:textId="3D434B92" w:rsidR="00FC5BC8" w:rsidRDefault="00FC5BC8">
      <w:pPr>
        <w:pStyle w:val="TOC1"/>
        <w:rPr>
          <w:rFonts w:eastAsiaTheme="minorEastAsia" w:cstheme="minorBidi"/>
          <w:b w:val="0"/>
          <w:bCs w:val="0"/>
          <w:caps w:val="0"/>
          <w:noProof/>
          <w:kern w:val="2"/>
          <w:sz w:val="24"/>
          <w:lang w:eastAsia="en-AU"/>
          <w14:ligatures w14:val="standardContextual"/>
        </w:rPr>
      </w:pPr>
      <w:hyperlink w:anchor="_Toc206083775" w:history="1">
        <w:r w:rsidRPr="00163393">
          <w:rPr>
            <w:rStyle w:val="Hyperlink"/>
            <w:noProof/>
          </w:rPr>
          <w:t>List of Figures</w:t>
        </w:r>
        <w:r>
          <w:rPr>
            <w:noProof/>
            <w:webHidden/>
          </w:rPr>
          <w:tab/>
        </w:r>
        <w:r>
          <w:rPr>
            <w:noProof/>
            <w:webHidden/>
          </w:rPr>
          <w:fldChar w:fldCharType="begin"/>
        </w:r>
        <w:r>
          <w:rPr>
            <w:noProof/>
            <w:webHidden/>
          </w:rPr>
          <w:instrText xml:space="preserve"> PAGEREF _Toc206083775 \h </w:instrText>
        </w:r>
        <w:r>
          <w:rPr>
            <w:noProof/>
            <w:webHidden/>
          </w:rPr>
        </w:r>
        <w:r>
          <w:rPr>
            <w:noProof/>
            <w:webHidden/>
          </w:rPr>
          <w:fldChar w:fldCharType="separate"/>
        </w:r>
        <w:r w:rsidR="00C170DF">
          <w:rPr>
            <w:noProof/>
            <w:webHidden/>
          </w:rPr>
          <w:t>4</w:t>
        </w:r>
        <w:r>
          <w:rPr>
            <w:noProof/>
            <w:webHidden/>
          </w:rPr>
          <w:fldChar w:fldCharType="end"/>
        </w:r>
      </w:hyperlink>
    </w:p>
    <w:p w14:paraId="0AC0164B" w14:textId="5AB428E2" w:rsidR="00FC5BC8" w:rsidRDefault="00FC5BC8">
      <w:pPr>
        <w:pStyle w:val="TOC1"/>
        <w:rPr>
          <w:rFonts w:eastAsiaTheme="minorEastAsia" w:cstheme="minorBidi"/>
          <w:b w:val="0"/>
          <w:bCs w:val="0"/>
          <w:caps w:val="0"/>
          <w:noProof/>
          <w:kern w:val="2"/>
          <w:sz w:val="24"/>
          <w:lang w:eastAsia="en-AU"/>
          <w14:ligatures w14:val="standardContextual"/>
        </w:rPr>
      </w:pPr>
      <w:hyperlink w:anchor="_Toc206083776" w:history="1">
        <w:r w:rsidRPr="00163393">
          <w:rPr>
            <w:rStyle w:val="Hyperlink"/>
            <w:noProof/>
          </w:rPr>
          <w:t>Acronyms</w:t>
        </w:r>
        <w:r>
          <w:rPr>
            <w:noProof/>
            <w:webHidden/>
          </w:rPr>
          <w:tab/>
        </w:r>
        <w:r>
          <w:rPr>
            <w:noProof/>
            <w:webHidden/>
          </w:rPr>
          <w:fldChar w:fldCharType="begin"/>
        </w:r>
        <w:r>
          <w:rPr>
            <w:noProof/>
            <w:webHidden/>
          </w:rPr>
          <w:instrText xml:space="preserve"> PAGEREF _Toc206083776 \h </w:instrText>
        </w:r>
        <w:r>
          <w:rPr>
            <w:noProof/>
            <w:webHidden/>
          </w:rPr>
        </w:r>
        <w:r>
          <w:rPr>
            <w:noProof/>
            <w:webHidden/>
          </w:rPr>
          <w:fldChar w:fldCharType="separate"/>
        </w:r>
        <w:r w:rsidR="00C170DF">
          <w:rPr>
            <w:noProof/>
            <w:webHidden/>
          </w:rPr>
          <w:t>5</w:t>
        </w:r>
        <w:r>
          <w:rPr>
            <w:noProof/>
            <w:webHidden/>
          </w:rPr>
          <w:fldChar w:fldCharType="end"/>
        </w:r>
      </w:hyperlink>
    </w:p>
    <w:p w14:paraId="0623E489" w14:textId="7F458491" w:rsidR="00FC5BC8" w:rsidRDefault="00FC5BC8">
      <w:pPr>
        <w:pStyle w:val="TOC1"/>
        <w:rPr>
          <w:rFonts w:eastAsiaTheme="minorEastAsia" w:cstheme="minorBidi"/>
          <w:b w:val="0"/>
          <w:bCs w:val="0"/>
          <w:caps w:val="0"/>
          <w:noProof/>
          <w:kern w:val="2"/>
          <w:sz w:val="24"/>
          <w:lang w:eastAsia="en-AU"/>
          <w14:ligatures w14:val="standardContextual"/>
        </w:rPr>
      </w:pPr>
      <w:hyperlink w:anchor="_Toc206083777" w:history="1">
        <w:r w:rsidRPr="00163393">
          <w:rPr>
            <w:rStyle w:val="Hyperlink"/>
            <w:noProof/>
          </w:rPr>
          <w:t>1.</w:t>
        </w:r>
        <w:r>
          <w:rPr>
            <w:rFonts w:eastAsiaTheme="minorEastAsia" w:cstheme="minorBidi"/>
            <w:b w:val="0"/>
            <w:bCs w:val="0"/>
            <w:caps w:val="0"/>
            <w:noProof/>
            <w:kern w:val="2"/>
            <w:sz w:val="24"/>
            <w:lang w:eastAsia="en-AU"/>
            <w14:ligatures w14:val="standardContextual"/>
          </w:rPr>
          <w:tab/>
        </w:r>
        <w:r w:rsidRPr="00163393">
          <w:rPr>
            <w:rStyle w:val="Hyperlink"/>
            <w:noProof/>
          </w:rPr>
          <w:t>Executive Summary</w:t>
        </w:r>
        <w:r>
          <w:rPr>
            <w:noProof/>
            <w:webHidden/>
          </w:rPr>
          <w:tab/>
        </w:r>
        <w:r>
          <w:rPr>
            <w:noProof/>
            <w:webHidden/>
          </w:rPr>
          <w:fldChar w:fldCharType="begin"/>
        </w:r>
        <w:r>
          <w:rPr>
            <w:noProof/>
            <w:webHidden/>
          </w:rPr>
          <w:instrText xml:space="preserve"> PAGEREF _Toc206083777 \h </w:instrText>
        </w:r>
        <w:r>
          <w:rPr>
            <w:noProof/>
            <w:webHidden/>
          </w:rPr>
        </w:r>
        <w:r>
          <w:rPr>
            <w:noProof/>
            <w:webHidden/>
          </w:rPr>
          <w:fldChar w:fldCharType="separate"/>
        </w:r>
        <w:r w:rsidR="00C170DF">
          <w:rPr>
            <w:noProof/>
            <w:webHidden/>
          </w:rPr>
          <w:t>7</w:t>
        </w:r>
        <w:r>
          <w:rPr>
            <w:noProof/>
            <w:webHidden/>
          </w:rPr>
          <w:fldChar w:fldCharType="end"/>
        </w:r>
      </w:hyperlink>
    </w:p>
    <w:p w14:paraId="2A031278" w14:textId="5AD55B08" w:rsidR="00FC5BC8" w:rsidRDefault="00FC5BC8">
      <w:pPr>
        <w:pStyle w:val="TOC2"/>
        <w:rPr>
          <w:rFonts w:eastAsiaTheme="minorEastAsia" w:cstheme="minorBidi"/>
          <w:smallCaps w:val="0"/>
          <w:noProof/>
          <w:kern w:val="2"/>
          <w:lang w:eastAsia="en-AU"/>
          <w14:ligatures w14:val="standardContextual"/>
        </w:rPr>
      </w:pPr>
      <w:hyperlink w:anchor="_Toc206083778" w:history="1">
        <w:r w:rsidRPr="00163393">
          <w:rPr>
            <w:rStyle w:val="Hyperlink"/>
            <w:noProof/>
          </w:rPr>
          <w:t>1.1</w:t>
        </w:r>
        <w:r>
          <w:rPr>
            <w:rFonts w:eastAsiaTheme="minorEastAsia" w:cstheme="minorBidi"/>
            <w:smallCaps w:val="0"/>
            <w:noProof/>
            <w:kern w:val="2"/>
            <w:lang w:eastAsia="en-AU"/>
            <w14:ligatures w14:val="standardContextual"/>
          </w:rPr>
          <w:tab/>
        </w:r>
        <w:r w:rsidRPr="00163393">
          <w:rPr>
            <w:rStyle w:val="Hyperlink"/>
            <w:noProof/>
          </w:rPr>
          <w:t xml:space="preserve">Key findings </w:t>
        </w:r>
        <w:r>
          <w:rPr>
            <w:noProof/>
            <w:webHidden/>
          </w:rPr>
          <w:tab/>
        </w:r>
        <w:r>
          <w:rPr>
            <w:noProof/>
            <w:webHidden/>
          </w:rPr>
          <w:fldChar w:fldCharType="begin"/>
        </w:r>
        <w:r>
          <w:rPr>
            <w:noProof/>
            <w:webHidden/>
          </w:rPr>
          <w:instrText xml:space="preserve"> PAGEREF _Toc206083778 \h </w:instrText>
        </w:r>
        <w:r>
          <w:rPr>
            <w:noProof/>
            <w:webHidden/>
          </w:rPr>
        </w:r>
        <w:r>
          <w:rPr>
            <w:noProof/>
            <w:webHidden/>
          </w:rPr>
          <w:fldChar w:fldCharType="separate"/>
        </w:r>
        <w:r w:rsidR="00C170DF">
          <w:rPr>
            <w:noProof/>
            <w:webHidden/>
          </w:rPr>
          <w:t>7</w:t>
        </w:r>
        <w:r>
          <w:rPr>
            <w:noProof/>
            <w:webHidden/>
          </w:rPr>
          <w:fldChar w:fldCharType="end"/>
        </w:r>
      </w:hyperlink>
    </w:p>
    <w:p w14:paraId="52E84FFF" w14:textId="432638DF" w:rsidR="00FC5BC8" w:rsidRDefault="00FC5BC8">
      <w:pPr>
        <w:pStyle w:val="TOC2"/>
        <w:rPr>
          <w:rFonts w:eastAsiaTheme="minorEastAsia" w:cstheme="minorBidi"/>
          <w:smallCaps w:val="0"/>
          <w:noProof/>
          <w:kern w:val="2"/>
          <w:lang w:eastAsia="en-AU"/>
          <w14:ligatures w14:val="standardContextual"/>
        </w:rPr>
      </w:pPr>
      <w:hyperlink w:anchor="_Toc206083779" w:history="1">
        <w:r w:rsidRPr="00163393">
          <w:rPr>
            <w:rStyle w:val="Hyperlink"/>
            <w:noProof/>
          </w:rPr>
          <w:t>1.2</w:t>
        </w:r>
        <w:r>
          <w:rPr>
            <w:rFonts w:eastAsiaTheme="minorEastAsia" w:cstheme="minorBidi"/>
            <w:smallCaps w:val="0"/>
            <w:noProof/>
            <w:kern w:val="2"/>
            <w:lang w:eastAsia="en-AU"/>
            <w14:ligatures w14:val="standardContextual"/>
          </w:rPr>
          <w:tab/>
        </w:r>
        <w:r w:rsidRPr="00163393">
          <w:rPr>
            <w:rStyle w:val="Hyperlink"/>
            <w:noProof/>
          </w:rPr>
          <w:t>Recommendations</w:t>
        </w:r>
        <w:r>
          <w:rPr>
            <w:noProof/>
            <w:webHidden/>
          </w:rPr>
          <w:tab/>
        </w:r>
        <w:r>
          <w:rPr>
            <w:noProof/>
            <w:webHidden/>
          </w:rPr>
          <w:fldChar w:fldCharType="begin"/>
        </w:r>
        <w:r>
          <w:rPr>
            <w:noProof/>
            <w:webHidden/>
          </w:rPr>
          <w:instrText xml:space="preserve"> PAGEREF _Toc206083779 \h </w:instrText>
        </w:r>
        <w:r>
          <w:rPr>
            <w:noProof/>
            <w:webHidden/>
          </w:rPr>
        </w:r>
        <w:r>
          <w:rPr>
            <w:noProof/>
            <w:webHidden/>
          </w:rPr>
          <w:fldChar w:fldCharType="separate"/>
        </w:r>
        <w:r w:rsidR="00C170DF">
          <w:rPr>
            <w:noProof/>
            <w:webHidden/>
          </w:rPr>
          <w:t>9</w:t>
        </w:r>
        <w:r>
          <w:rPr>
            <w:noProof/>
            <w:webHidden/>
          </w:rPr>
          <w:fldChar w:fldCharType="end"/>
        </w:r>
      </w:hyperlink>
    </w:p>
    <w:p w14:paraId="3551D1A3" w14:textId="13F4EBC6" w:rsidR="00FC5BC8" w:rsidRDefault="00FC5BC8">
      <w:pPr>
        <w:pStyle w:val="TOC1"/>
        <w:rPr>
          <w:rFonts w:eastAsiaTheme="minorEastAsia" w:cstheme="minorBidi"/>
          <w:b w:val="0"/>
          <w:bCs w:val="0"/>
          <w:caps w:val="0"/>
          <w:noProof/>
          <w:kern w:val="2"/>
          <w:sz w:val="24"/>
          <w:lang w:eastAsia="en-AU"/>
          <w14:ligatures w14:val="standardContextual"/>
        </w:rPr>
      </w:pPr>
      <w:hyperlink w:anchor="_Toc206083780" w:history="1">
        <w:r w:rsidRPr="00163393">
          <w:rPr>
            <w:rStyle w:val="Hyperlink"/>
            <w:noProof/>
          </w:rPr>
          <w:t>2.</w:t>
        </w:r>
        <w:r>
          <w:rPr>
            <w:rFonts w:eastAsiaTheme="minorEastAsia" w:cstheme="minorBidi"/>
            <w:b w:val="0"/>
            <w:bCs w:val="0"/>
            <w:caps w:val="0"/>
            <w:noProof/>
            <w:kern w:val="2"/>
            <w:sz w:val="24"/>
            <w:lang w:eastAsia="en-AU"/>
            <w14:ligatures w14:val="standardContextual"/>
          </w:rPr>
          <w:tab/>
        </w:r>
        <w:r w:rsidRPr="00163393">
          <w:rPr>
            <w:rStyle w:val="Hyperlink"/>
            <w:noProof/>
          </w:rPr>
          <w:t>Introduction</w:t>
        </w:r>
        <w:r>
          <w:rPr>
            <w:noProof/>
            <w:webHidden/>
          </w:rPr>
          <w:tab/>
        </w:r>
        <w:r>
          <w:rPr>
            <w:noProof/>
            <w:webHidden/>
          </w:rPr>
          <w:fldChar w:fldCharType="begin"/>
        </w:r>
        <w:r>
          <w:rPr>
            <w:noProof/>
            <w:webHidden/>
          </w:rPr>
          <w:instrText xml:space="preserve"> PAGEREF _Toc206083780 \h </w:instrText>
        </w:r>
        <w:r>
          <w:rPr>
            <w:noProof/>
            <w:webHidden/>
          </w:rPr>
        </w:r>
        <w:r>
          <w:rPr>
            <w:noProof/>
            <w:webHidden/>
          </w:rPr>
          <w:fldChar w:fldCharType="separate"/>
        </w:r>
        <w:r w:rsidR="00C170DF">
          <w:rPr>
            <w:noProof/>
            <w:webHidden/>
          </w:rPr>
          <w:t>13</w:t>
        </w:r>
        <w:r>
          <w:rPr>
            <w:noProof/>
            <w:webHidden/>
          </w:rPr>
          <w:fldChar w:fldCharType="end"/>
        </w:r>
      </w:hyperlink>
    </w:p>
    <w:p w14:paraId="1EE4388D" w14:textId="145B197C" w:rsidR="00FC5BC8" w:rsidRDefault="00FC5BC8">
      <w:pPr>
        <w:pStyle w:val="TOC2"/>
        <w:rPr>
          <w:rFonts w:eastAsiaTheme="minorEastAsia" w:cstheme="minorBidi"/>
          <w:smallCaps w:val="0"/>
          <w:noProof/>
          <w:kern w:val="2"/>
          <w:lang w:eastAsia="en-AU"/>
          <w14:ligatures w14:val="standardContextual"/>
        </w:rPr>
      </w:pPr>
      <w:hyperlink w:anchor="_Toc206083781" w:history="1">
        <w:r w:rsidRPr="00163393">
          <w:rPr>
            <w:rStyle w:val="Hyperlink"/>
            <w:rFonts w:eastAsia="Cambria"/>
            <w:noProof/>
          </w:rPr>
          <w:t>2.1</w:t>
        </w:r>
        <w:r>
          <w:rPr>
            <w:rFonts w:eastAsiaTheme="minorEastAsia" w:cstheme="minorBidi"/>
            <w:smallCaps w:val="0"/>
            <w:noProof/>
            <w:kern w:val="2"/>
            <w:lang w:eastAsia="en-AU"/>
            <w14:ligatures w14:val="standardContextual"/>
          </w:rPr>
          <w:tab/>
        </w:r>
        <w:r w:rsidRPr="00163393">
          <w:rPr>
            <w:rStyle w:val="Hyperlink"/>
            <w:rFonts w:eastAsia="Cambria"/>
            <w:noProof/>
          </w:rPr>
          <w:t>Objectives</w:t>
        </w:r>
        <w:r>
          <w:rPr>
            <w:noProof/>
            <w:webHidden/>
          </w:rPr>
          <w:tab/>
        </w:r>
        <w:r>
          <w:rPr>
            <w:noProof/>
            <w:webHidden/>
          </w:rPr>
          <w:fldChar w:fldCharType="begin"/>
        </w:r>
        <w:r>
          <w:rPr>
            <w:noProof/>
            <w:webHidden/>
          </w:rPr>
          <w:instrText xml:space="preserve"> PAGEREF _Toc206083781 \h </w:instrText>
        </w:r>
        <w:r>
          <w:rPr>
            <w:noProof/>
            <w:webHidden/>
          </w:rPr>
        </w:r>
        <w:r>
          <w:rPr>
            <w:noProof/>
            <w:webHidden/>
          </w:rPr>
          <w:fldChar w:fldCharType="separate"/>
        </w:r>
        <w:r w:rsidR="00C170DF">
          <w:rPr>
            <w:noProof/>
            <w:webHidden/>
          </w:rPr>
          <w:t>14</w:t>
        </w:r>
        <w:r>
          <w:rPr>
            <w:noProof/>
            <w:webHidden/>
          </w:rPr>
          <w:fldChar w:fldCharType="end"/>
        </w:r>
      </w:hyperlink>
    </w:p>
    <w:p w14:paraId="345A4700" w14:textId="7E0A10C5" w:rsidR="00FC5BC8" w:rsidRDefault="00FC5BC8">
      <w:pPr>
        <w:pStyle w:val="TOC2"/>
        <w:rPr>
          <w:rFonts w:eastAsiaTheme="minorEastAsia" w:cstheme="minorBidi"/>
          <w:smallCaps w:val="0"/>
          <w:noProof/>
          <w:kern w:val="2"/>
          <w:lang w:eastAsia="en-AU"/>
          <w14:ligatures w14:val="standardContextual"/>
        </w:rPr>
      </w:pPr>
      <w:hyperlink w:anchor="_Toc206083782" w:history="1">
        <w:r w:rsidRPr="00163393">
          <w:rPr>
            <w:rStyle w:val="Hyperlink"/>
            <w:rFonts w:eastAsia="Cambria"/>
            <w:noProof/>
          </w:rPr>
          <w:t>2.2</w:t>
        </w:r>
        <w:r>
          <w:rPr>
            <w:rFonts w:eastAsiaTheme="minorEastAsia" w:cstheme="minorBidi"/>
            <w:smallCaps w:val="0"/>
            <w:noProof/>
            <w:kern w:val="2"/>
            <w:lang w:eastAsia="en-AU"/>
            <w14:ligatures w14:val="standardContextual"/>
          </w:rPr>
          <w:tab/>
        </w:r>
        <w:r w:rsidRPr="00163393">
          <w:rPr>
            <w:rStyle w:val="Hyperlink"/>
            <w:rFonts w:eastAsia="Cambria"/>
            <w:noProof/>
          </w:rPr>
          <w:t>Methodology</w:t>
        </w:r>
        <w:r>
          <w:rPr>
            <w:noProof/>
            <w:webHidden/>
          </w:rPr>
          <w:tab/>
        </w:r>
        <w:r>
          <w:rPr>
            <w:noProof/>
            <w:webHidden/>
          </w:rPr>
          <w:fldChar w:fldCharType="begin"/>
        </w:r>
        <w:r>
          <w:rPr>
            <w:noProof/>
            <w:webHidden/>
          </w:rPr>
          <w:instrText xml:space="preserve"> PAGEREF _Toc206083782 \h </w:instrText>
        </w:r>
        <w:r>
          <w:rPr>
            <w:noProof/>
            <w:webHidden/>
          </w:rPr>
        </w:r>
        <w:r>
          <w:rPr>
            <w:noProof/>
            <w:webHidden/>
          </w:rPr>
          <w:fldChar w:fldCharType="separate"/>
        </w:r>
        <w:r w:rsidR="00C170DF">
          <w:rPr>
            <w:noProof/>
            <w:webHidden/>
          </w:rPr>
          <w:t>14</w:t>
        </w:r>
        <w:r>
          <w:rPr>
            <w:noProof/>
            <w:webHidden/>
          </w:rPr>
          <w:fldChar w:fldCharType="end"/>
        </w:r>
      </w:hyperlink>
    </w:p>
    <w:p w14:paraId="0662934F" w14:textId="1E0B4D24" w:rsidR="00FC5BC8" w:rsidRDefault="00FC5BC8">
      <w:pPr>
        <w:pStyle w:val="TOC2"/>
        <w:rPr>
          <w:rFonts w:eastAsiaTheme="minorEastAsia" w:cstheme="minorBidi"/>
          <w:smallCaps w:val="0"/>
          <w:noProof/>
          <w:kern w:val="2"/>
          <w:lang w:eastAsia="en-AU"/>
          <w14:ligatures w14:val="standardContextual"/>
        </w:rPr>
      </w:pPr>
      <w:hyperlink w:anchor="_Toc206083783" w:history="1">
        <w:r w:rsidRPr="00163393">
          <w:rPr>
            <w:rStyle w:val="Hyperlink"/>
            <w:rFonts w:eastAsia="Cambria"/>
            <w:noProof/>
          </w:rPr>
          <w:t>2.3</w:t>
        </w:r>
        <w:r>
          <w:rPr>
            <w:rFonts w:eastAsiaTheme="minorEastAsia" w:cstheme="minorBidi"/>
            <w:smallCaps w:val="0"/>
            <w:noProof/>
            <w:kern w:val="2"/>
            <w:lang w:eastAsia="en-AU"/>
            <w14:ligatures w14:val="standardContextual"/>
          </w:rPr>
          <w:tab/>
        </w:r>
        <w:r w:rsidRPr="00163393">
          <w:rPr>
            <w:rStyle w:val="Hyperlink"/>
            <w:rFonts w:eastAsia="Cambria"/>
            <w:noProof/>
          </w:rPr>
          <w:t>The Australian beef, rendering, and feed sectors</w:t>
        </w:r>
        <w:r>
          <w:rPr>
            <w:noProof/>
            <w:webHidden/>
          </w:rPr>
          <w:tab/>
        </w:r>
        <w:r>
          <w:rPr>
            <w:noProof/>
            <w:webHidden/>
          </w:rPr>
          <w:fldChar w:fldCharType="begin"/>
        </w:r>
        <w:r>
          <w:rPr>
            <w:noProof/>
            <w:webHidden/>
          </w:rPr>
          <w:instrText xml:space="preserve"> PAGEREF _Toc206083783 \h </w:instrText>
        </w:r>
        <w:r>
          <w:rPr>
            <w:noProof/>
            <w:webHidden/>
          </w:rPr>
        </w:r>
        <w:r>
          <w:rPr>
            <w:noProof/>
            <w:webHidden/>
          </w:rPr>
          <w:fldChar w:fldCharType="separate"/>
        </w:r>
        <w:r w:rsidR="00C170DF">
          <w:rPr>
            <w:noProof/>
            <w:webHidden/>
          </w:rPr>
          <w:t>16</w:t>
        </w:r>
        <w:r>
          <w:rPr>
            <w:noProof/>
            <w:webHidden/>
          </w:rPr>
          <w:fldChar w:fldCharType="end"/>
        </w:r>
      </w:hyperlink>
    </w:p>
    <w:p w14:paraId="0EB9FC0B" w14:textId="0205E5E0" w:rsidR="00FC5BC8" w:rsidRDefault="00FC5BC8">
      <w:pPr>
        <w:pStyle w:val="TOC1"/>
        <w:rPr>
          <w:rFonts w:eastAsiaTheme="minorEastAsia" w:cstheme="minorBidi"/>
          <w:b w:val="0"/>
          <w:bCs w:val="0"/>
          <w:caps w:val="0"/>
          <w:noProof/>
          <w:kern w:val="2"/>
          <w:sz w:val="24"/>
          <w:lang w:eastAsia="en-AU"/>
          <w14:ligatures w14:val="standardContextual"/>
        </w:rPr>
      </w:pPr>
      <w:hyperlink w:anchor="_Toc206083784" w:history="1">
        <w:r w:rsidRPr="00163393">
          <w:rPr>
            <w:rStyle w:val="Hyperlink"/>
            <w:noProof/>
          </w:rPr>
          <w:t>3.</w:t>
        </w:r>
        <w:r>
          <w:rPr>
            <w:rFonts w:eastAsiaTheme="minorEastAsia" w:cstheme="minorBidi"/>
            <w:b w:val="0"/>
            <w:bCs w:val="0"/>
            <w:caps w:val="0"/>
            <w:noProof/>
            <w:kern w:val="2"/>
            <w:sz w:val="24"/>
            <w:lang w:eastAsia="en-AU"/>
            <w14:ligatures w14:val="standardContextual"/>
          </w:rPr>
          <w:tab/>
        </w:r>
        <w:r w:rsidRPr="00163393">
          <w:rPr>
            <w:rStyle w:val="Hyperlink"/>
            <w:noProof/>
          </w:rPr>
          <w:t>The BSE standard revision process</w:t>
        </w:r>
        <w:r>
          <w:rPr>
            <w:noProof/>
            <w:webHidden/>
          </w:rPr>
          <w:tab/>
        </w:r>
        <w:r>
          <w:rPr>
            <w:noProof/>
            <w:webHidden/>
          </w:rPr>
          <w:fldChar w:fldCharType="begin"/>
        </w:r>
        <w:r>
          <w:rPr>
            <w:noProof/>
            <w:webHidden/>
          </w:rPr>
          <w:instrText xml:space="preserve"> PAGEREF _Toc206083784 \h </w:instrText>
        </w:r>
        <w:r>
          <w:rPr>
            <w:noProof/>
            <w:webHidden/>
          </w:rPr>
        </w:r>
        <w:r>
          <w:rPr>
            <w:noProof/>
            <w:webHidden/>
          </w:rPr>
          <w:fldChar w:fldCharType="separate"/>
        </w:r>
        <w:r w:rsidR="00C170DF">
          <w:rPr>
            <w:noProof/>
            <w:webHidden/>
          </w:rPr>
          <w:t>17</w:t>
        </w:r>
        <w:r>
          <w:rPr>
            <w:noProof/>
            <w:webHidden/>
          </w:rPr>
          <w:fldChar w:fldCharType="end"/>
        </w:r>
      </w:hyperlink>
    </w:p>
    <w:p w14:paraId="1006EA45" w14:textId="22DA73FC" w:rsidR="00FC5BC8" w:rsidRDefault="00FC5BC8">
      <w:pPr>
        <w:pStyle w:val="TOC2"/>
        <w:rPr>
          <w:rFonts w:eastAsiaTheme="minorEastAsia" w:cstheme="minorBidi"/>
          <w:smallCaps w:val="0"/>
          <w:noProof/>
          <w:kern w:val="2"/>
          <w:lang w:eastAsia="en-AU"/>
          <w14:ligatures w14:val="standardContextual"/>
        </w:rPr>
      </w:pPr>
      <w:hyperlink w:anchor="_Toc206083785" w:history="1">
        <w:r w:rsidRPr="00163393">
          <w:rPr>
            <w:rStyle w:val="Hyperlink"/>
            <w:noProof/>
          </w:rPr>
          <w:t>3.1</w:t>
        </w:r>
        <w:r>
          <w:rPr>
            <w:rFonts w:eastAsiaTheme="minorEastAsia" w:cstheme="minorBidi"/>
            <w:smallCaps w:val="0"/>
            <w:noProof/>
            <w:kern w:val="2"/>
            <w:lang w:eastAsia="en-AU"/>
            <w14:ligatures w14:val="standardContextual"/>
          </w:rPr>
          <w:tab/>
        </w:r>
        <w:r w:rsidRPr="00163393">
          <w:rPr>
            <w:rStyle w:val="Hyperlink"/>
            <w:noProof/>
          </w:rPr>
          <w:t>Background</w:t>
        </w:r>
        <w:r>
          <w:rPr>
            <w:noProof/>
            <w:webHidden/>
          </w:rPr>
          <w:tab/>
        </w:r>
        <w:r>
          <w:rPr>
            <w:noProof/>
            <w:webHidden/>
          </w:rPr>
          <w:fldChar w:fldCharType="begin"/>
        </w:r>
        <w:r>
          <w:rPr>
            <w:noProof/>
            <w:webHidden/>
          </w:rPr>
          <w:instrText xml:space="preserve"> PAGEREF _Toc206083785 \h </w:instrText>
        </w:r>
        <w:r>
          <w:rPr>
            <w:noProof/>
            <w:webHidden/>
          </w:rPr>
        </w:r>
        <w:r>
          <w:rPr>
            <w:noProof/>
            <w:webHidden/>
          </w:rPr>
          <w:fldChar w:fldCharType="separate"/>
        </w:r>
        <w:r w:rsidR="00C170DF">
          <w:rPr>
            <w:noProof/>
            <w:webHidden/>
          </w:rPr>
          <w:t>17</w:t>
        </w:r>
        <w:r>
          <w:rPr>
            <w:noProof/>
            <w:webHidden/>
          </w:rPr>
          <w:fldChar w:fldCharType="end"/>
        </w:r>
      </w:hyperlink>
    </w:p>
    <w:p w14:paraId="74561C59" w14:textId="70F8BE7B" w:rsidR="00FC5BC8" w:rsidRDefault="00FC5BC8">
      <w:pPr>
        <w:pStyle w:val="TOC2"/>
        <w:rPr>
          <w:rFonts w:eastAsiaTheme="minorEastAsia" w:cstheme="minorBidi"/>
          <w:smallCaps w:val="0"/>
          <w:noProof/>
          <w:kern w:val="2"/>
          <w:lang w:eastAsia="en-AU"/>
          <w14:ligatures w14:val="standardContextual"/>
        </w:rPr>
      </w:pPr>
      <w:hyperlink w:anchor="_Toc206083786" w:history="1">
        <w:r w:rsidRPr="00163393">
          <w:rPr>
            <w:rStyle w:val="Hyperlink"/>
            <w:rFonts w:eastAsia="Calibri"/>
            <w:noProof/>
          </w:rPr>
          <w:t>3.2</w:t>
        </w:r>
        <w:r>
          <w:rPr>
            <w:rFonts w:eastAsiaTheme="minorEastAsia" w:cstheme="minorBidi"/>
            <w:smallCaps w:val="0"/>
            <w:noProof/>
            <w:kern w:val="2"/>
            <w:lang w:eastAsia="en-AU"/>
            <w14:ligatures w14:val="standardContextual"/>
          </w:rPr>
          <w:tab/>
        </w:r>
        <w:r w:rsidRPr="00163393">
          <w:rPr>
            <w:rStyle w:val="Hyperlink"/>
            <w:rFonts w:eastAsia="Calibri"/>
            <w:noProof/>
          </w:rPr>
          <w:t>BSE standard revision</w:t>
        </w:r>
        <w:r>
          <w:rPr>
            <w:noProof/>
            <w:webHidden/>
          </w:rPr>
          <w:tab/>
        </w:r>
        <w:r>
          <w:rPr>
            <w:noProof/>
            <w:webHidden/>
          </w:rPr>
          <w:fldChar w:fldCharType="begin"/>
        </w:r>
        <w:r>
          <w:rPr>
            <w:noProof/>
            <w:webHidden/>
          </w:rPr>
          <w:instrText xml:space="preserve"> PAGEREF _Toc206083786 \h </w:instrText>
        </w:r>
        <w:r>
          <w:rPr>
            <w:noProof/>
            <w:webHidden/>
          </w:rPr>
        </w:r>
        <w:r>
          <w:rPr>
            <w:noProof/>
            <w:webHidden/>
          </w:rPr>
          <w:fldChar w:fldCharType="separate"/>
        </w:r>
        <w:r w:rsidR="00C170DF">
          <w:rPr>
            <w:noProof/>
            <w:webHidden/>
          </w:rPr>
          <w:t>19</w:t>
        </w:r>
        <w:r>
          <w:rPr>
            <w:noProof/>
            <w:webHidden/>
          </w:rPr>
          <w:fldChar w:fldCharType="end"/>
        </w:r>
      </w:hyperlink>
    </w:p>
    <w:p w14:paraId="268A86E2" w14:textId="35C6A526" w:rsidR="00FC5BC8" w:rsidRDefault="00FC5BC8">
      <w:pPr>
        <w:pStyle w:val="TOC1"/>
        <w:rPr>
          <w:rFonts w:eastAsiaTheme="minorEastAsia" w:cstheme="minorBidi"/>
          <w:b w:val="0"/>
          <w:bCs w:val="0"/>
          <w:caps w:val="0"/>
          <w:noProof/>
          <w:kern w:val="2"/>
          <w:sz w:val="24"/>
          <w:lang w:eastAsia="en-AU"/>
          <w14:ligatures w14:val="standardContextual"/>
        </w:rPr>
      </w:pPr>
      <w:hyperlink w:anchor="_Toc206083787" w:history="1">
        <w:r w:rsidRPr="00163393">
          <w:rPr>
            <w:rStyle w:val="Hyperlink"/>
            <w:noProof/>
          </w:rPr>
          <w:t>4.</w:t>
        </w:r>
        <w:r>
          <w:rPr>
            <w:rFonts w:eastAsiaTheme="minorEastAsia" w:cstheme="minorBidi"/>
            <w:b w:val="0"/>
            <w:bCs w:val="0"/>
            <w:caps w:val="0"/>
            <w:noProof/>
            <w:kern w:val="2"/>
            <w:sz w:val="24"/>
            <w:lang w:eastAsia="en-AU"/>
            <w14:ligatures w14:val="standardContextual"/>
          </w:rPr>
          <w:tab/>
        </w:r>
        <w:r w:rsidRPr="00163393">
          <w:rPr>
            <w:rStyle w:val="Hyperlink"/>
            <w:noProof/>
          </w:rPr>
          <w:t>Qualitative Analysis</w:t>
        </w:r>
        <w:r>
          <w:rPr>
            <w:noProof/>
            <w:webHidden/>
          </w:rPr>
          <w:tab/>
        </w:r>
        <w:r>
          <w:rPr>
            <w:noProof/>
            <w:webHidden/>
          </w:rPr>
          <w:fldChar w:fldCharType="begin"/>
        </w:r>
        <w:r>
          <w:rPr>
            <w:noProof/>
            <w:webHidden/>
          </w:rPr>
          <w:instrText xml:space="preserve"> PAGEREF _Toc206083787 \h </w:instrText>
        </w:r>
        <w:r>
          <w:rPr>
            <w:noProof/>
            <w:webHidden/>
          </w:rPr>
        </w:r>
        <w:r>
          <w:rPr>
            <w:noProof/>
            <w:webHidden/>
          </w:rPr>
          <w:fldChar w:fldCharType="separate"/>
        </w:r>
        <w:r w:rsidR="00C170DF">
          <w:rPr>
            <w:noProof/>
            <w:webHidden/>
          </w:rPr>
          <w:t>29</w:t>
        </w:r>
        <w:r>
          <w:rPr>
            <w:noProof/>
            <w:webHidden/>
          </w:rPr>
          <w:fldChar w:fldCharType="end"/>
        </w:r>
      </w:hyperlink>
    </w:p>
    <w:p w14:paraId="2B654C04" w14:textId="2C58429C" w:rsidR="00FC5BC8" w:rsidRDefault="00FC5BC8">
      <w:pPr>
        <w:pStyle w:val="TOC2"/>
        <w:rPr>
          <w:rFonts w:eastAsiaTheme="minorEastAsia" w:cstheme="minorBidi"/>
          <w:smallCaps w:val="0"/>
          <w:noProof/>
          <w:kern w:val="2"/>
          <w:lang w:eastAsia="en-AU"/>
          <w14:ligatures w14:val="standardContextual"/>
        </w:rPr>
      </w:pPr>
      <w:hyperlink w:anchor="_Toc206083788" w:history="1">
        <w:r w:rsidRPr="00163393">
          <w:rPr>
            <w:rStyle w:val="Hyperlink"/>
            <w:noProof/>
          </w:rPr>
          <w:t>4.1</w:t>
        </w:r>
        <w:r>
          <w:rPr>
            <w:rFonts w:eastAsiaTheme="minorEastAsia" w:cstheme="minorBidi"/>
            <w:smallCaps w:val="0"/>
            <w:noProof/>
            <w:kern w:val="2"/>
            <w:lang w:eastAsia="en-AU"/>
            <w14:ligatures w14:val="standardContextual"/>
          </w:rPr>
          <w:tab/>
        </w:r>
        <w:r w:rsidRPr="00163393">
          <w:rPr>
            <w:rStyle w:val="Hyperlink"/>
            <w:noProof/>
          </w:rPr>
          <w:t>Issue emergence: Trade opportunities and atypical BSE</w:t>
        </w:r>
        <w:r>
          <w:rPr>
            <w:noProof/>
            <w:webHidden/>
          </w:rPr>
          <w:tab/>
        </w:r>
        <w:r>
          <w:rPr>
            <w:noProof/>
            <w:webHidden/>
          </w:rPr>
          <w:fldChar w:fldCharType="begin"/>
        </w:r>
        <w:r>
          <w:rPr>
            <w:noProof/>
            <w:webHidden/>
          </w:rPr>
          <w:instrText xml:space="preserve"> PAGEREF _Toc206083788 \h </w:instrText>
        </w:r>
        <w:r>
          <w:rPr>
            <w:noProof/>
            <w:webHidden/>
          </w:rPr>
        </w:r>
        <w:r>
          <w:rPr>
            <w:noProof/>
            <w:webHidden/>
          </w:rPr>
          <w:fldChar w:fldCharType="separate"/>
        </w:r>
        <w:r w:rsidR="00C170DF">
          <w:rPr>
            <w:noProof/>
            <w:webHidden/>
          </w:rPr>
          <w:t>29</w:t>
        </w:r>
        <w:r>
          <w:rPr>
            <w:noProof/>
            <w:webHidden/>
          </w:rPr>
          <w:fldChar w:fldCharType="end"/>
        </w:r>
      </w:hyperlink>
    </w:p>
    <w:p w14:paraId="68220CF8" w14:textId="0ADAF197" w:rsidR="00FC5BC8" w:rsidRDefault="00FC5BC8">
      <w:pPr>
        <w:pStyle w:val="TOC2"/>
        <w:rPr>
          <w:rFonts w:eastAsiaTheme="minorEastAsia" w:cstheme="minorBidi"/>
          <w:smallCaps w:val="0"/>
          <w:noProof/>
          <w:kern w:val="2"/>
          <w:lang w:eastAsia="en-AU"/>
          <w14:ligatures w14:val="standardContextual"/>
        </w:rPr>
      </w:pPr>
      <w:hyperlink w:anchor="_Toc206083789" w:history="1">
        <w:r w:rsidRPr="00163393">
          <w:rPr>
            <w:rStyle w:val="Hyperlink"/>
            <w:noProof/>
          </w:rPr>
          <w:t>4.2</w:t>
        </w:r>
        <w:r>
          <w:rPr>
            <w:rFonts w:eastAsiaTheme="minorEastAsia" w:cstheme="minorBidi"/>
            <w:smallCaps w:val="0"/>
            <w:noProof/>
            <w:kern w:val="2"/>
            <w:lang w:eastAsia="en-AU"/>
            <w14:ligatures w14:val="standardContextual"/>
          </w:rPr>
          <w:tab/>
        </w:r>
        <w:r w:rsidRPr="00163393">
          <w:rPr>
            <w:rStyle w:val="Hyperlink"/>
            <w:noProof/>
          </w:rPr>
          <w:t>The Animal Health Quadrilateral (Quads) Alliance: Accessing and distributing scientific information</w:t>
        </w:r>
        <w:r>
          <w:rPr>
            <w:noProof/>
            <w:webHidden/>
          </w:rPr>
          <w:tab/>
        </w:r>
        <w:r>
          <w:rPr>
            <w:noProof/>
            <w:webHidden/>
          </w:rPr>
          <w:fldChar w:fldCharType="begin"/>
        </w:r>
        <w:r>
          <w:rPr>
            <w:noProof/>
            <w:webHidden/>
          </w:rPr>
          <w:instrText xml:space="preserve"> PAGEREF _Toc206083789 \h </w:instrText>
        </w:r>
        <w:r>
          <w:rPr>
            <w:noProof/>
            <w:webHidden/>
          </w:rPr>
        </w:r>
        <w:r>
          <w:rPr>
            <w:noProof/>
            <w:webHidden/>
          </w:rPr>
          <w:fldChar w:fldCharType="separate"/>
        </w:r>
        <w:r w:rsidR="00C170DF">
          <w:rPr>
            <w:noProof/>
            <w:webHidden/>
          </w:rPr>
          <w:t>30</w:t>
        </w:r>
        <w:r>
          <w:rPr>
            <w:noProof/>
            <w:webHidden/>
          </w:rPr>
          <w:fldChar w:fldCharType="end"/>
        </w:r>
      </w:hyperlink>
    </w:p>
    <w:p w14:paraId="7D5865EC" w14:textId="30BC4EB6" w:rsidR="00FC5BC8" w:rsidRDefault="00FC5BC8">
      <w:pPr>
        <w:pStyle w:val="TOC2"/>
        <w:rPr>
          <w:rFonts w:eastAsiaTheme="minorEastAsia" w:cstheme="minorBidi"/>
          <w:smallCaps w:val="0"/>
          <w:noProof/>
          <w:kern w:val="2"/>
          <w:lang w:eastAsia="en-AU"/>
          <w14:ligatures w14:val="standardContextual"/>
        </w:rPr>
      </w:pPr>
      <w:hyperlink w:anchor="_Toc206083790" w:history="1">
        <w:r w:rsidRPr="00163393">
          <w:rPr>
            <w:rStyle w:val="Hyperlink"/>
            <w:noProof/>
          </w:rPr>
          <w:t>4.3</w:t>
        </w:r>
        <w:r>
          <w:rPr>
            <w:rFonts w:eastAsiaTheme="minorEastAsia" w:cstheme="minorBidi"/>
            <w:smallCaps w:val="0"/>
            <w:noProof/>
            <w:kern w:val="2"/>
            <w:lang w:eastAsia="en-AU"/>
            <w14:ligatures w14:val="standardContextual"/>
          </w:rPr>
          <w:tab/>
        </w:r>
        <w:r w:rsidRPr="00163393">
          <w:rPr>
            <w:rStyle w:val="Hyperlink"/>
            <w:noProof/>
          </w:rPr>
          <w:t>Australia’s response: OCVO engagement with industry in the advocacy of scientific evidence</w:t>
        </w:r>
        <w:r>
          <w:rPr>
            <w:noProof/>
            <w:webHidden/>
          </w:rPr>
          <w:tab/>
        </w:r>
        <w:r>
          <w:rPr>
            <w:noProof/>
            <w:webHidden/>
          </w:rPr>
          <w:fldChar w:fldCharType="begin"/>
        </w:r>
        <w:r>
          <w:rPr>
            <w:noProof/>
            <w:webHidden/>
          </w:rPr>
          <w:instrText xml:space="preserve"> PAGEREF _Toc206083790 \h </w:instrText>
        </w:r>
        <w:r>
          <w:rPr>
            <w:noProof/>
            <w:webHidden/>
          </w:rPr>
        </w:r>
        <w:r>
          <w:rPr>
            <w:noProof/>
            <w:webHidden/>
          </w:rPr>
          <w:fldChar w:fldCharType="separate"/>
        </w:r>
        <w:r w:rsidR="00C170DF">
          <w:rPr>
            <w:noProof/>
            <w:webHidden/>
          </w:rPr>
          <w:t>31</w:t>
        </w:r>
        <w:r>
          <w:rPr>
            <w:noProof/>
            <w:webHidden/>
          </w:rPr>
          <w:fldChar w:fldCharType="end"/>
        </w:r>
      </w:hyperlink>
    </w:p>
    <w:p w14:paraId="434B1B26" w14:textId="68FEE77A" w:rsidR="00FC5BC8" w:rsidRDefault="00FC5BC8">
      <w:pPr>
        <w:pStyle w:val="TOC2"/>
        <w:rPr>
          <w:rFonts w:eastAsiaTheme="minorEastAsia" w:cstheme="minorBidi"/>
          <w:smallCaps w:val="0"/>
          <w:noProof/>
          <w:kern w:val="2"/>
          <w:lang w:eastAsia="en-AU"/>
          <w14:ligatures w14:val="standardContextual"/>
        </w:rPr>
      </w:pPr>
      <w:hyperlink w:anchor="_Toc206083791" w:history="1">
        <w:r w:rsidRPr="00163393">
          <w:rPr>
            <w:rStyle w:val="Hyperlink"/>
            <w:noProof/>
          </w:rPr>
          <w:t>4.4</w:t>
        </w:r>
        <w:r>
          <w:rPr>
            <w:rFonts w:eastAsiaTheme="minorEastAsia" w:cstheme="minorBidi"/>
            <w:smallCaps w:val="0"/>
            <w:noProof/>
            <w:kern w:val="2"/>
            <w:lang w:eastAsia="en-AU"/>
            <w14:ligatures w14:val="standardContextual"/>
          </w:rPr>
          <w:tab/>
        </w:r>
        <w:r w:rsidRPr="00163393">
          <w:rPr>
            <w:rStyle w:val="Hyperlink"/>
            <w:noProof/>
          </w:rPr>
          <w:t>Advocacy of scientific evidence: The Australian representative on SCAD</w:t>
        </w:r>
        <w:r>
          <w:rPr>
            <w:noProof/>
            <w:webHidden/>
          </w:rPr>
          <w:tab/>
        </w:r>
        <w:r>
          <w:rPr>
            <w:noProof/>
            <w:webHidden/>
          </w:rPr>
          <w:fldChar w:fldCharType="begin"/>
        </w:r>
        <w:r>
          <w:rPr>
            <w:noProof/>
            <w:webHidden/>
          </w:rPr>
          <w:instrText xml:space="preserve"> PAGEREF _Toc206083791 \h </w:instrText>
        </w:r>
        <w:r>
          <w:rPr>
            <w:noProof/>
            <w:webHidden/>
          </w:rPr>
        </w:r>
        <w:r>
          <w:rPr>
            <w:noProof/>
            <w:webHidden/>
          </w:rPr>
          <w:fldChar w:fldCharType="separate"/>
        </w:r>
        <w:r w:rsidR="00C170DF">
          <w:rPr>
            <w:noProof/>
            <w:webHidden/>
          </w:rPr>
          <w:t>33</w:t>
        </w:r>
        <w:r>
          <w:rPr>
            <w:noProof/>
            <w:webHidden/>
          </w:rPr>
          <w:fldChar w:fldCharType="end"/>
        </w:r>
      </w:hyperlink>
    </w:p>
    <w:p w14:paraId="335D69EE" w14:textId="0F0B44D6" w:rsidR="00FC5BC8" w:rsidRDefault="00FC5BC8">
      <w:pPr>
        <w:pStyle w:val="TOC2"/>
        <w:rPr>
          <w:rFonts w:eastAsiaTheme="minorEastAsia" w:cstheme="minorBidi"/>
          <w:smallCaps w:val="0"/>
          <w:noProof/>
          <w:kern w:val="2"/>
          <w:lang w:eastAsia="en-AU"/>
          <w14:ligatures w14:val="standardContextual"/>
        </w:rPr>
      </w:pPr>
      <w:hyperlink w:anchor="_Toc206083792" w:history="1">
        <w:r w:rsidRPr="00163393">
          <w:rPr>
            <w:rStyle w:val="Hyperlink"/>
            <w:noProof/>
          </w:rPr>
          <w:t>4.5 The Australian response: The benefits of close engagement with WOAH’</w:t>
        </w:r>
        <w:r>
          <w:rPr>
            <w:noProof/>
            <w:webHidden/>
          </w:rPr>
          <w:tab/>
        </w:r>
        <w:r>
          <w:rPr>
            <w:noProof/>
            <w:webHidden/>
          </w:rPr>
          <w:fldChar w:fldCharType="begin"/>
        </w:r>
        <w:r>
          <w:rPr>
            <w:noProof/>
            <w:webHidden/>
          </w:rPr>
          <w:instrText xml:space="preserve"> PAGEREF _Toc206083792 \h </w:instrText>
        </w:r>
        <w:r>
          <w:rPr>
            <w:noProof/>
            <w:webHidden/>
          </w:rPr>
        </w:r>
        <w:r>
          <w:rPr>
            <w:noProof/>
            <w:webHidden/>
          </w:rPr>
          <w:fldChar w:fldCharType="separate"/>
        </w:r>
        <w:r w:rsidR="00C170DF">
          <w:rPr>
            <w:noProof/>
            <w:webHidden/>
          </w:rPr>
          <w:t>34</w:t>
        </w:r>
        <w:r>
          <w:rPr>
            <w:noProof/>
            <w:webHidden/>
          </w:rPr>
          <w:fldChar w:fldCharType="end"/>
        </w:r>
      </w:hyperlink>
    </w:p>
    <w:p w14:paraId="21B5A33C" w14:textId="7D0D863A" w:rsidR="00FC5BC8" w:rsidRDefault="00FC5BC8">
      <w:pPr>
        <w:pStyle w:val="TOC2"/>
        <w:rPr>
          <w:rFonts w:eastAsiaTheme="minorEastAsia" w:cstheme="minorBidi"/>
          <w:smallCaps w:val="0"/>
          <w:noProof/>
          <w:kern w:val="2"/>
          <w:lang w:eastAsia="en-AU"/>
          <w14:ligatures w14:val="standardContextual"/>
        </w:rPr>
      </w:pPr>
      <w:hyperlink w:anchor="_Toc206083793" w:history="1">
        <w:r w:rsidRPr="00163393">
          <w:rPr>
            <w:rStyle w:val="Hyperlink"/>
            <w:noProof/>
          </w:rPr>
          <w:t>4.6 Impacts of Australian representation: Factors leading to the withdrawal of the proposed standard</w:t>
        </w:r>
        <w:r>
          <w:rPr>
            <w:noProof/>
            <w:webHidden/>
          </w:rPr>
          <w:tab/>
        </w:r>
        <w:r>
          <w:rPr>
            <w:noProof/>
            <w:webHidden/>
          </w:rPr>
          <w:fldChar w:fldCharType="begin"/>
        </w:r>
        <w:r>
          <w:rPr>
            <w:noProof/>
            <w:webHidden/>
          </w:rPr>
          <w:instrText xml:space="preserve"> PAGEREF _Toc206083793 \h </w:instrText>
        </w:r>
        <w:r>
          <w:rPr>
            <w:noProof/>
            <w:webHidden/>
          </w:rPr>
        </w:r>
        <w:r>
          <w:rPr>
            <w:noProof/>
            <w:webHidden/>
          </w:rPr>
          <w:fldChar w:fldCharType="separate"/>
        </w:r>
        <w:r w:rsidR="00C170DF">
          <w:rPr>
            <w:noProof/>
            <w:webHidden/>
          </w:rPr>
          <w:t>35</w:t>
        </w:r>
        <w:r>
          <w:rPr>
            <w:noProof/>
            <w:webHidden/>
          </w:rPr>
          <w:fldChar w:fldCharType="end"/>
        </w:r>
      </w:hyperlink>
    </w:p>
    <w:p w14:paraId="5043EB1F" w14:textId="4FDEF158" w:rsidR="00FC5BC8" w:rsidRDefault="00FC5BC8">
      <w:pPr>
        <w:pStyle w:val="TOC1"/>
        <w:rPr>
          <w:rFonts w:eastAsiaTheme="minorEastAsia" w:cstheme="minorBidi"/>
          <w:b w:val="0"/>
          <w:bCs w:val="0"/>
          <w:caps w:val="0"/>
          <w:noProof/>
          <w:kern w:val="2"/>
          <w:sz w:val="24"/>
          <w:lang w:eastAsia="en-AU"/>
          <w14:ligatures w14:val="standardContextual"/>
        </w:rPr>
      </w:pPr>
      <w:hyperlink w:anchor="_Toc206083794" w:history="1">
        <w:r w:rsidRPr="00163393">
          <w:rPr>
            <w:rStyle w:val="Hyperlink"/>
            <w:noProof/>
          </w:rPr>
          <w:t>5.</w:t>
        </w:r>
        <w:r>
          <w:rPr>
            <w:rFonts w:eastAsiaTheme="minorEastAsia" w:cstheme="minorBidi"/>
            <w:b w:val="0"/>
            <w:bCs w:val="0"/>
            <w:caps w:val="0"/>
            <w:noProof/>
            <w:kern w:val="2"/>
            <w:sz w:val="24"/>
            <w:lang w:eastAsia="en-AU"/>
            <w14:ligatures w14:val="standardContextual"/>
          </w:rPr>
          <w:tab/>
        </w:r>
        <w:r w:rsidRPr="00163393">
          <w:rPr>
            <w:rStyle w:val="Hyperlink"/>
            <w:noProof/>
          </w:rPr>
          <w:t>Quantitative analysis of avoided outcomes</w:t>
        </w:r>
        <w:r>
          <w:rPr>
            <w:noProof/>
            <w:webHidden/>
          </w:rPr>
          <w:tab/>
        </w:r>
        <w:r>
          <w:rPr>
            <w:noProof/>
            <w:webHidden/>
          </w:rPr>
          <w:fldChar w:fldCharType="begin"/>
        </w:r>
        <w:r>
          <w:rPr>
            <w:noProof/>
            <w:webHidden/>
          </w:rPr>
          <w:instrText xml:space="preserve"> PAGEREF _Toc206083794 \h </w:instrText>
        </w:r>
        <w:r>
          <w:rPr>
            <w:noProof/>
            <w:webHidden/>
          </w:rPr>
        </w:r>
        <w:r>
          <w:rPr>
            <w:noProof/>
            <w:webHidden/>
          </w:rPr>
          <w:fldChar w:fldCharType="separate"/>
        </w:r>
        <w:r w:rsidR="00C170DF">
          <w:rPr>
            <w:noProof/>
            <w:webHidden/>
          </w:rPr>
          <w:t>37</w:t>
        </w:r>
        <w:r>
          <w:rPr>
            <w:noProof/>
            <w:webHidden/>
          </w:rPr>
          <w:fldChar w:fldCharType="end"/>
        </w:r>
      </w:hyperlink>
    </w:p>
    <w:p w14:paraId="589FD230" w14:textId="7161CD2A" w:rsidR="00FC5BC8" w:rsidRDefault="00FC5BC8">
      <w:pPr>
        <w:pStyle w:val="TOC2"/>
        <w:rPr>
          <w:rFonts w:eastAsiaTheme="minorEastAsia" w:cstheme="minorBidi"/>
          <w:smallCaps w:val="0"/>
          <w:noProof/>
          <w:kern w:val="2"/>
          <w:lang w:eastAsia="en-AU"/>
          <w14:ligatures w14:val="standardContextual"/>
        </w:rPr>
      </w:pPr>
      <w:hyperlink w:anchor="_Toc206083795" w:history="1">
        <w:r w:rsidRPr="00163393">
          <w:rPr>
            <w:rStyle w:val="Hyperlink"/>
            <w:noProof/>
          </w:rPr>
          <w:t>5.1</w:t>
        </w:r>
        <w:r>
          <w:rPr>
            <w:rFonts w:eastAsiaTheme="minorEastAsia" w:cstheme="minorBidi"/>
            <w:smallCaps w:val="0"/>
            <w:noProof/>
            <w:kern w:val="2"/>
            <w:lang w:eastAsia="en-AU"/>
            <w14:ligatures w14:val="standardContextual"/>
          </w:rPr>
          <w:tab/>
        </w:r>
        <w:r w:rsidRPr="00163393">
          <w:rPr>
            <w:rStyle w:val="Hyperlink"/>
            <w:noProof/>
          </w:rPr>
          <w:t>Assumptions and data</w:t>
        </w:r>
        <w:r>
          <w:rPr>
            <w:noProof/>
            <w:webHidden/>
          </w:rPr>
          <w:tab/>
        </w:r>
        <w:r>
          <w:rPr>
            <w:noProof/>
            <w:webHidden/>
          </w:rPr>
          <w:fldChar w:fldCharType="begin"/>
        </w:r>
        <w:r>
          <w:rPr>
            <w:noProof/>
            <w:webHidden/>
          </w:rPr>
          <w:instrText xml:space="preserve"> PAGEREF _Toc206083795 \h </w:instrText>
        </w:r>
        <w:r>
          <w:rPr>
            <w:noProof/>
            <w:webHidden/>
          </w:rPr>
        </w:r>
        <w:r>
          <w:rPr>
            <w:noProof/>
            <w:webHidden/>
          </w:rPr>
          <w:fldChar w:fldCharType="separate"/>
        </w:r>
        <w:r w:rsidR="00C170DF">
          <w:rPr>
            <w:noProof/>
            <w:webHidden/>
          </w:rPr>
          <w:t>38</w:t>
        </w:r>
        <w:r>
          <w:rPr>
            <w:noProof/>
            <w:webHidden/>
          </w:rPr>
          <w:fldChar w:fldCharType="end"/>
        </w:r>
      </w:hyperlink>
    </w:p>
    <w:p w14:paraId="064F51AF" w14:textId="7B7413E4" w:rsidR="00FC5BC8" w:rsidRDefault="00FC5BC8">
      <w:pPr>
        <w:pStyle w:val="TOC2"/>
        <w:rPr>
          <w:rFonts w:eastAsiaTheme="minorEastAsia" w:cstheme="minorBidi"/>
          <w:smallCaps w:val="0"/>
          <w:noProof/>
          <w:kern w:val="2"/>
          <w:lang w:eastAsia="en-AU"/>
          <w14:ligatures w14:val="standardContextual"/>
        </w:rPr>
      </w:pPr>
      <w:hyperlink w:anchor="_Toc206083796" w:history="1">
        <w:r w:rsidRPr="00163393">
          <w:rPr>
            <w:rStyle w:val="Hyperlink"/>
            <w:noProof/>
          </w:rPr>
          <w:t>5.2</w:t>
        </w:r>
        <w:r>
          <w:rPr>
            <w:rFonts w:eastAsiaTheme="minorEastAsia" w:cstheme="minorBidi"/>
            <w:smallCaps w:val="0"/>
            <w:noProof/>
            <w:kern w:val="2"/>
            <w:lang w:eastAsia="en-AU"/>
            <w14:ligatures w14:val="standardContextual"/>
          </w:rPr>
          <w:tab/>
        </w:r>
        <w:r w:rsidRPr="00163393">
          <w:rPr>
            <w:rStyle w:val="Hyperlink"/>
            <w:noProof/>
          </w:rPr>
          <w:t>Results</w:t>
        </w:r>
        <w:r>
          <w:rPr>
            <w:noProof/>
            <w:webHidden/>
          </w:rPr>
          <w:tab/>
        </w:r>
        <w:r>
          <w:rPr>
            <w:noProof/>
            <w:webHidden/>
          </w:rPr>
          <w:fldChar w:fldCharType="begin"/>
        </w:r>
        <w:r>
          <w:rPr>
            <w:noProof/>
            <w:webHidden/>
          </w:rPr>
          <w:instrText xml:space="preserve"> PAGEREF _Toc206083796 \h </w:instrText>
        </w:r>
        <w:r>
          <w:rPr>
            <w:noProof/>
            <w:webHidden/>
          </w:rPr>
        </w:r>
        <w:r>
          <w:rPr>
            <w:noProof/>
            <w:webHidden/>
          </w:rPr>
          <w:fldChar w:fldCharType="separate"/>
        </w:r>
        <w:r w:rsidR="00C170DF">
          <w:rPr>
            <w:noProof/>
            <w:webHidden/>
          </w:rPr>
          <w:t>43</w:t>
        </w:r>
        <w:r>
          <w:rPr>
            <w:noProof/>
            <w:webHidden/>
          </w:rPr>
          <w:fldChar w:fldCharType="end"/>
        </w:r>
      </w:hyperlink>
    </w:p>
    <w:p w14:paraId="2BFD5CAD" w14:textId="4594D312" w:rsidR="00FC5BC8" w:rsidRDefault="00FC5BC8">
      <w:pPr>
        <w:pStyle w:val="TOC1"/>
        <w:rPr>
          <w:rFonts w:eastAsiaTheme="minorEastAsia" w:cstheme="minorBidi"/>
          <w:b w:val="0"/>
          <w:bCs w:val="0"/>
          <w:caps w:val="0"/>
          <w:noProof/>
          <w:kern w:val="2"/>
          <w:sz w:val="24"/>
          <w:lang w:eastAsia="en-AU"/>
          <w14:ligatures w14:val="standardContextual"/>
        </w:rPr>
      </w:pPr>
      <w:hyperlink w:anchor="_Toc206083797" w:history="1">
        <w:r w:rsidRPr="00163393">
          <w:rPr>
            <w:rStyle w:val="Hyperlink"/>
            <w:noProof/>
          </w:rPr>
          <w:t>6.</w:t>
        </w:r>
        <w:r>
          <w:rPr>
            <w:rFonts w:eastAsiaTheme="minorEastAsia" w:cstheme="minorBidi"/>
            <w:b w:val="0"/>
            <w:bCs w:val="0"/>
            <w:caps w:val="0"/>
            <w:noProof/>
            <w:kern w:val="2"/>
            <w:sz w:val="24"/>
            <w:lang w:eastAsia="en-AU"/>
            <w14:ligatures w14:val="standardContextual"/>
          </w:rPr>
          <w:tab/>
        </w:r>
        <w:r w:rsidRPr="00163393">
          <w:rPr>
            <w:rStyle w:val="Hyperlink"/>
            <w:noProof/>
          </w:rPr>
          <w:t>Conclusion and recommendations</w:t>
        </w:r>
        <w:r>
          <w:rPr>
            <w:noProof/>
            <w:webHidden/>
          </w:rPr>
          <w:tab/>
        </w:r>
        <w:r>
          <w:rPr>
            <w:noProof/>
            <w:webHidden/>
          </w:rPr>
          <w:fldChar w:fldCharType="begin"/>
        </w:r>
        <w:r>
          <w:rPr>
            <w:noProof/>
            <w:webHidden/>
          </w:rPr>
          <w:instrText xml:space="preserve"> PAGEREF _Toc206083797 \h </w:instrText>
        </w:r>
        <w:r>
          <w:rPr>
            <w:noProof/>
            <w:webHidden/>
          </w:rPr>
        </w:r>
        <w:r>
          <w:rPr>
            <w:noProof/>
            <w:webHidden/>
          </w:rPr>
          <w:fldChar w:fldCharType="separate"/>
        </w:r>
        <w:r w:rsidR="00C170DF">
          <w:rPr>
            <w:noProof/>
            <w:webHidden/>
          </w:rPr>
          <w:t>45</w:t>
        </w:r>
        <w:r>
          <w:rPr>
            <w:noProof/>
            <w:webHidden/>
          </w:rPr>
          <w:fldChar w:fldCharType="end"/>
        </w:r>
      </w:hyperlink>
    </w:p>
    <w:p w14:paraId="31D911DF" w14:textId="2A80A090" w:rsidR="00FC5BC8" w:rsidRDefault="00FC5BC8">
      <w:pPr>
        <w:pStyle w:val="TOC2"/>
        <w:rPr>
          <w:rFonts w:eastAsiaTheme="minorEastAsia" w:cstheme="minorBidi"/>
          <w:smallCaps w:val="0"/>
          <w:noProof/>
          <w:kern w:val="2"/>
          <w:lang w:eastAsia="en-AU"/>
          <w14:ligatures w14:val="standardContextual"/>
        </w:rPr>
      </w:pPr>
      <w:hyperlink w:anchor="_Toc206083798" w:history="1">
        <w:r w:rsidRPr="00163393">
          <w:rPr>
            <w:rStyle w:val="Hyperlink"/>
            <w:noProof/>
          </w:rPr>
          <w:t>6.1</w:t>
        </w:r>
        <w:r>
          <w:rPr>
            <w:rFonts w:eastAsiaTheme="minorEastAsia" w:cstheme="minorBidi"/>
            <w:smallCaps w:val="0"/>
            <w:noProof/>
            <w:kern w:val="2"/>
            <w:lang w:eastAsia="en-AU"/>
            <w14:ligatures w14:val="standardContextual"/>
          </w:rPr>
          <w:tab/>
        </w:r>
        <w:r w:rsidRPr="00163393">
          <w:rPr>
            <w:rStyle w:val="Hyperlink"/>
            <w:noProof/>
          </w:rPr>
          <w:t>Key findings</w:t>
        </w:r>
        <w:r>
          <w:rPr>
            <w:noProof/>
            <w:webHidden/>
          </w:rPr>
          <w:tab/>
        </w:r>
        <w:r>
          <w:rPr>
            <w:noProof/>
            <w:webHidden/>
          </w:rPr>
          <w:fldChar w:fldCharType="begin"/>
        </w:r>
        <w:r>
          <w:rPr>
            <w:noProof/>
            <w:webHidden/>
          </w:rPr>
          <w:instrText xml:space="preserve"> PAGEREF _Toc206083798 \h </w:instrText>
        </w:r>
        <w:r>
          <w:rPr>
            <w:noProof/>
            <w:webHidden/>
          </w:rPr>
        </w:r>
        <w:r>
          <w:rPr>
            <w:noProof/>
            <w:webHidden/>
          </w:rPr>
          <w:fldChar w:fldCharType="separate"/>
        </w:r>
        <w:r w:rsidR="00C170DF">
          <w:rPr>
            <w:noProof/>
            <w:webHidden/>
          </w:rPr>
          <w:t>45</w:t>
        </w:r>
        <w:r>
          <w:rPr>
            <w:noProof/>
            <w:webHidden/>
          </w:rPr>
          <w:fldChar w:fldCharType="end"/>
        </w:r>
      </w:hyperlink>
    </w:p>
    <w:p w14:paraId="6F8F5440" w14:textId="44DBA44F" w:rsidR="00FC5BC8" w:rsidRDefault="00FC5BC8">
      <w:pPr>
        <w:pStyle w:val="TOC2"/>
        <w:rPr>
          <w:rFonts w:eastAsiaTheme="minorEastAsia" w:cstheme="minorBidi"/>
          <w:smallCaps w:val="0"/>
          <w:noProof/>
          <w:kern w:val="2"/>
          <w:lang w:eastAsia="en-AU"/>
          <w14:ligatures w14:val="standardContextual"/>
        </w:rPr>
      </w:pPr>
      <w:hyperlink w:anchor="_Toc206083799" w:history="1">
        <w:r w:rsidRPr="00163393">
          <w:rPr>
            <w:rStyle w:val="Hyperlink"/>
            <w:noProof/>
          </w:rPr>
          <w:t>6.2</w:t>
        </w:r>
        <w:r>
          <w:rPr>
            <w:rFonts w:eastAsiaTheme="minorEastAsia" w:cstheme="minorBidi"/>
            <w:smallCaps w:val="0"/>
            <w:noProof/>
            <w:kern w:val="2"/>
            <w:lang w:eastAsia="en-AU"/>
            <w14:ligatures w14:val="standardContextual"/>
          </w:rPr>
          <w:tab/>
        </w:r>
        <w:r w:rsidRPr="00163393">
          <w:rPr>
            <w:rStyle w:val="Hyperlink"/>
            <w:noProof/>
          </w:rPr>
          <w:t>Recommendations</w:t>
        </w:r>
        <w:r>
          <w:rPr>
            <w:noProof/>
            <w:webHidden/>
          </w:rPr>
          <w:tab/>
        </w:r>
        <w:r>
          <w:rPr>
            <w:noProof/>
            <w:webHidden/>
          </w:rPr>
          <w:fldChar w:fldCharType="begin"/>
        </w:r>
        <w:r>
          <w:rPr>
            <w:noProof/>
            <w:webHidden/>
          </w:rPr>
          <w:instrText xml:space="preserve"> PAGEREF _Toc206083799 \h </w:instrText>
        </w:r>
        <w:r>
          <w:rPr>
            <w:noProof/>
            <w:webHidden/>
          </w:rPr>
        </w:r>
        <w:r>
          <w:rPr>
            <w:noProof/>
            <w:webHidden/>
          </w:rPr>
          <w:fldChar w:fldCharType="separate"/>
        </w:r>
        <w:r w:rsidR="00C170DF">
          <w:rPr>
            <w:noProof/>
            <w:webHidden/>
          </w:rPr>
          <w:t>47</w:t>
        </w:r>
        <w:r>
          <w:rPr>
            <w:noProof/>
            <w:webHidden/>
          </w:rPr>
          <w:fldChar w:fldCharType="end"/>
        </w:r>
      </w:hyperlink>
    </w:p>
    <w:p w14:paraId="68A01CF3" w14:textId="335F212F" w:rsidR="00FC5BC8" w:rsidRDefault="00FC5BC8">
      <w:pPr>
        <w:pStyle w:val="TOC1"/>
        <w:rPr>
          <w:rFonts w:eastAsiaTheme="minorEastAsia" w:cstheme="minorBidi"/>
          <w:b w:val="0"/>
          <w:bCs w:val="0"/>
          <w:caps w:val="0"/>
          <w:noProof/>
          <w:kern w:val="2"/>
          <w:sz w:val="24"/>
          <w:lang w:eastAsia="en-AU"/>
          <w14:ligatures w14:val="standardContextual"/>
        </w:rPr>
      </w:pPr>
      <w:hyperlink w:anchor="_Toc206083800" w:history="1">
        <w:r w:rsidRPr="00163393">
          <w:rPr>
            <w:rStyle w:val="Hyperlink"/>
            <w:noProof/>
          </w:rPr>
          <w:t>7.</w:t>
        </w:r>
        <w:r>
          <w:rPr>
            <w:rFonts w:eastAsiaTheme="minorEastAsia" w:cstheme="minorBidi"/>
            <w:b w:val="0"/>
            <w:bCs w:val="0"/>
            <w:caps w:val="0"/>
            <w:noProof/>
            <w:kern w:val="2"/>
            <w:sz w:val="24"/>
            <w:lang w:eastAsia="en-AU"/>
            <w14:ligatures w14:val="standardContextual"/>
          </w:rPr>
          <w:tab/>
        </w:r>
        <w:r w:rsidRPr="00163393">
          <w:rPr>
            <w:rStyle w:val="Hyperlink"/>
            <w:noProof/>
          </w:rPr>
          <w:t>References</w:t>
        </w:r>
        <w:r>
          <w:rPr>
            <w:noProof/>
            <w:webHidden/>
          </w:rPr>
          <w:tab/>
        </w:r>
        <w:r>
          <w:rPr>
            <w:noProof/>
            <w:webHidden/>
          </w:rPr>
          <w:fldChar w:fldCharType="begin"/>
        </w:r>
        <w:r>
          <w:rPr>
            <w:noProof/>
            <w:webHidden/>
          </w:rPr>
          <w:instrText xml:space="preserve"> PAGEREF _Toc206083800 \h </w:instrText>
        </w:r>
        <w:r>
          <w:rPr>
            <w:noProof/>
            <w:webHidden/>
          </w:rPr>
        </w:r>
        <w:r>
          <w:rPr>
            <w:noProof/>
            <w:webHidden/>
          </w:rPr>
          <w:fldChar w:fldCharType="separate"/>
        </w:r>
        <w:r w:rsidR="00C170DF">
          <w:rPr>
            <w:noProof/>
            <w:webHidden/>
          </w:rPr>
          <w:t>49</w:t>
        </w:r>
        <w:r>
          <w:rPr>
            <w:noProof/>
            <w:webHidden/>
          </w:rPr>
          <w:fldChar w:fldCharType="end"/>
        </w:r>
      </w:hyperlink>
    </w:p>
    <w:p w14:paraId="6183804D" w14:textId="128C7F7F" w:rsidR="00FC5BC8" w:rsidRDefault="00FC5BC8">
      <w:pPr>
        <w:pStyle w:val="TOC1"/>
        <w:rPr>
          <w:rFonts w:eastAsiaTheme="minorEastAsia" w:cstheme="minorBidi"/>
          <w:b w:val="0"/>
          <w:bCs w:val="0"/>
          <w:caps w:val="0"/>
          <w:noProof/>
          <w:kern w:val="2"/>
          <w:sz w:val="24"/>
          <w:lang w:eastAsia="en-AU"/>
          <w14:ligatures w14:val="standardContextual"/>
        </w:rPr>
      </w:pPr>
      <w:hyperlink w:anchor="_Toc206083801" w:history="1">
        <w:r w:rsidRPr="00163393">
          <w:rPr>
            <w:rStyle w:val="Hyperlink"/>
            <w:noProof/>
          </w:rPr>
          <w:t>8.</w:t>
        </w:r>
        <w:r>
          <w:rPr>
            <w:rFonts w:eastAsiaTheme="minorEastAsia" w:cstheme="minorBidi"/>
            <w:b w:val="0"/>
            <w:bCs w:val="0"/>
            <w:caps w:val="0"/>
            <w:noProof/>
            <w:kern w:val="2"/>
            <w:sz w:val="24"/>
            <w:lang w:eastAsia="en-AU"/>
            <w14:ligatures w14:val="standardContextual"/>
          </w:rPr>
          <w:tab/>
        </w:r>
        <w:r w:rsidRPr="00163393">
          <w:rPr>
            <w:rStyle w:val="Hyperlink"/>
            <w:noProof/>
          </w:rPr>
          <w:t>Appendix A Calculations</w:t>
        </w:r>
        <w:r>
          <w:rPr>
            <w:noProof/>
            <w:webHidden/>
          </w:rPr>
          <w:tab/>
        </w:r>
        <w:r>
          <w:rPr>
            <w:noProof/>
            <w:webHidden/>
          </w:rPr>
          <w:fldChar w:fldCharType="begin"/>
        </w:r>
        <w:r>
          <w:rPr>
            <w:noProof/>
            <w:webHidden/>
          </w:rPr>
          <w:instrText xml:space="preserve"> PAGEREF _Toc206083801 \h </w:instrText>
        </w:r>
        <w:r>
          <w:rPr>
            <w:noProof/>
            <w:webHidden/>
          </w:rPr>
        </w:r>
        <w:r>
          <w:rPr>
            <w:noProof/>
            <w:webHidden/>
          </w:rPr>
          <w:fldChar w:fldCharType="separate"/>
        </w:r>
        <w:r w:rsidR="00C170DF">
          <w:rPr>
            <w:noProof/>
            <w:webHidden/>
          </w:rPr>
          <w:t>51</w:t>
        </w:r>
        <w:r>
          <w:rPr>
            <w:noProof/>
            <w:webHidden/>
          </w:rPr>
          <w:fldChar w:fldCharType="end"/>
        </w:r>
      </w:hyperlink>
    </w:p>
    <w:p w14:paraId="27EA3757" w14:textId="0CDDE4A4" w:rsidR="00321E64" w:rsidRDefault="00F34BAA" w:rsidP="004E15A0">
      <w:pPr>
        <w:pStyle w:val="TOC1"/>
        <w:rPr>
          <w:rStyle w:val="Hyperlink"/>
          <w:rFonts w:ascii="Calibri" w:hAnsi="Calibri" w:cs="Calibri"/>
          <w:b w:val="0"/>
          <w:noProof/>
          <w:lang w:val="en-GB" w:eastAsia="en-AU"/>
        </w:rPr>
        <w:sectPr w:rsidR="00321E64">
          <w:pgSz w:w="11906" w:h="16838"/>
          <w:pgMar w:top="1440" w:right="1800" w:bottom="1440" w:left="1800" w:header="720" w:footer="720" w:gutter="0"/>
          <w:cols w:space="720"/>
        </w:sectPr>
      </w:pPr>
      <w:r>
        <w:rPr>
          <w:rStyle w:val="Hyperlink"/>
          <w:rFonts w:ascii="Calibri" w:hAnsi="Calibri" w:cs="Calibri"/>
          <w:b w:val="0"/>
          <w:noProof/>
          <w:lang w:val="en-GB" w:eastAsia="en-AU"/>
        </w:rPr>
        <w:fldChar w:fldCharType="end"/>
      </w:r>
    </w:p>
    <w:p w14:paraId="76229ADD" w14:textId="065C86EC" w:rsidR="00FE35D1" w:rsidRDefault="00FE35D1" w:rsidP="000024FA">
      <w:pPr>
        <w:pStyle w:val="Heading1"/>
        <w:numPr>
          <w:ilvl w:val="0"/>
          <w:numId w:val="0"/>
        </w:numPr>
        <w:ind w:left="425"/>
      </w:pPr>
      <w:bookmarkStart w:id="6" w:name="_Toc184311735"/>
      <w:bookmarkStart w:id="7" w:name="_Toc206083774"/>
      <w:r>
        <w:lastRenderedPageBreak/>
        <w:t>List of Tables</w:t>
      </w:r>
      <w:bookmarkEnd w:id="6"/>
      <w:bookmarkEnd w:id="7"/>
    </w:p>
    <w:p w14:paraId="11E86EB2" w14:textId="5B853F34" w:rsidR="00FC5BC8" w:rsidRDefault="003601F5">
      <w:pPr>
        <w:pStyle w:val="TableofFigures"/>
        <w:tabs>
          <w:tab w:val="right" w:leader="dot" w:pos="8296"/>
        </w:tabs>
        <w:rPr>
          <w:rFonts w:eastAsiaTheme="minorEastAsia" w:cstheme="minorBidi"/>
          <w:caps w:val="0"/>
          <w:noProof/>
          <w:kern w:val="2"/>
          <w:sz w:val="24"/>
          <w:szCs w:val="24"/>
          <w:lang w:eastAsia="en-AU"/>
          <w14:ligatures w14:val="standardContextual"/>
        </w:rPr>
      </w:pPr>
      <w:r>
        <w:fldChar w:fldCharType="begin"/>
      </w:r>
      <w:r>
        <w:instrText xml:space="preserve"> TOC \h \z \c "Table" </w:instrText>
      </w:r>
      <w:r>
        <w:fldChar w:fldCharType="separate"/>
      </w:r>
      <w:hyperlink w:anchor="_Toc206083802" w:history="1">
        <w:r w:rsidR="00FC5BC8" w:rsidRPr="007E1CB5">
          <w:rPr>
            <w:rStyle w:val="Hyperlink"/>
            <w:noProof/>
          </w:rPr>
          <w:t>Table 1. Interviewees by organisation</w:t>
        </w:r>
        <w:r w:rsidR="00FC5BC8">
          <w:rPr>
            <w:noProof/>
            <w:webHidden/>
          </w:rPr>
          <w:tab/>
        </w:r>
        <w:r w:rsidR="00FC5BC8">
          <w:rPr>
            <w:noProof/>
            <w:webHidden/>
          </w:rPr>
          <w:fldChar w:fldCharType="begin"/>
        </w:r>
        <w:r w:rsidR="00FC5BC8">
          <w:rPr>
            <w:noProof/>
            <w:webHidden/>
          </w:rPr>
          <w:instrText xml:space="preserve"> PAGEREF _Toc206083802 \h </w:instrText>
        </w:r>
        <w:r w:rsidR="00FC5BC8">
          <w:rPr>
            <w:noProof/>
            <w:webHidden/>
          </w:rPr>
        </w:r>
        <w:r w:rsidR="00FC5BC8">
          <w:rPr>
            <w:noProof/>
            <w:webHidden/>
          </w:rPr>
          <w:fldChar w:fldCharType="separate"/>
        </w:r>
        <w:r w:rsidR="00FC5BC8">
          <w:rPr>
            <w:noProof/>
            <w:webHidden/>
          </w:rPr>
          <w:t>15</w:t>
        </w:r>
        <w:r w:rsidR="00FC5BC8">
          <w:rPr>
            <w:noProof/>
            <w:webHidden/>
          </w:rPr>
          <w:fldChar w:fldCharType="end"/>
        </w:r>
      </w:hyperlink>
    </w:p>
    <w:p w14:paraId="1CEB4E6D" w14:textId="3EF69909" w:rsidR="00FC5BC8" w:rsidRDefault="00FC5BC8">
      <w:pPr>
        <w:pStyle w:val="TableofFigures"/>
        <w:tabs>
          <w:tab w:val="right" w:leader="dot" w:pos="8296"/>
        </w:tabs>
        <w:rPr>
          <w:rFonts w:eastAsiaTheme="minorEastAsia" w:cstheme="minorBidi"/>
          <w:caps w:val="0"/>
          <w:noProof/>
          <w:kern w:val="2"/>
          <w:sz w:val="24"/>
          <w:szCs w:val="24"/>
          <w:lang w:eastAsia="en-AU"/>
          <w14:ligatures w14:val="standardContextual"/>
        </w:rPr>
      </w:pPr>
      <w:hyperlink w:anchor="_Toc206083803" w:history="1">
        <w:r w:rsidRPr="007E1CB5">
          <w:rPr>
            <w:rStyle w:val="Hyperlink"/>
            <w:noProof/>
          </w:rPr>
          <w:t>Table 2. Data and data sources used to calculate costs and benefits of ISS</w:t>
        </w:r>
        <w:r>
          <w:rPr>
            <w:noProof/>
            <w:webHidden/>
          </w:rPr>
          <w:tab/>
        </w:r>
        <w:r>
          <w:rPr>
            <w:noProof/>
            <w:webHidden/>
          </w:rPr>
          <w:fldChar w:fldCharType="begin"/>
        </w:r>
        <w:r>
          <w:rPr>
            <w:noProof/>
            <w:webHidden/>
          </w:rPr>
          <w:instrText xml:space="preserve"> PAGEREF _Toc206083803 \h </w:instrText>
        </w:r>
        <w:r>
          <w:rPr>
            <w:noProof/>
            <w:webHidden/>
          </w:rPr>
        </w:r>
        <w:r>
          <w:rPr>
            <w:noProof/>
            <w:webHidden/>
          </w:rPr>
          <w:fldChar w:fldCharType="separate"/>
        </w:r>
        <w:r>
          <w:rPr>
            <w:noProof/>
            <w:webHidden/>
          </w:rPr>
          <w:t>39</w:t>
        </w:r>
        <w:r>
          <w:rPr>
            <w:noProof/>
            <w:webHidden/>
          </w:rPr>
          <w:fldChar w:fldCharType="end"/>
        </w:r>
      </w:hyperlink>
    </w:p>
    <w:p w14:paraId="0A2C6213" w14:textId="30982942" w:rsidR="00FC5BC8" w:rsidRDefault="00FC5BC8">
      <w:pPr>
        <w:pStyle w:val="TableofFigures"/>
        <w:tabs>
          <w:tab w:val="right" w:leader="dot" w:pos="8296"/>
        </w:tabs>
        <w:rPr>
          <w:rFonts w:eastAsiaTheme="minorEastAsia" w:cstheme="minorBidi"/>
          <w:caps w:val="0"/>
          <w:noProof/>
          <w:kern w:val="2"/>
          <w:sz w:val="24"/>
          <w:szCs w:val="24"/>
          <w:lang w:eastAsia="en-AU"/>
          <w14:ligatures w14:val="standardContextual"/>
        </w:rPr>
      </w:pPr>
      <w:hyperlink w:anchor="_Toc206083804" w:history="1">
        <w:r w:rsidRPr="007E1CB5">
          <w:rPr>
            <w:rStyle w:val="Hyperlink"/>
            <w:noProof/>
          </w:rPr>
          <w:t>Table 3. Data and data sources used to calculate potential adverse outcomes of BSE changes</w:t>
        </w:r>
        <w:r>
          <w:rPr>
            <w:noProof/>
            <w:webHidden/>
          </w:rPr>
          <w:tab/>
        </w:r>
        <w:r>
          <w:rPr>
            <w:noProof/>
            <w:webHidden/>
          </w:rPr>
          <w:fldChar w:fldCharType="begin"/>
        </w:r>
        <w:r>
          <w:rPr>
            <w:noProof/>
            <w:webHidden/>
          </w:rPr>
          <w:instrText xml:space="preserve"> PAGEREF _Toc206083804 \h </w:instrText>
        </w:r>
        <w:r>
          <w:rPr>
            <w:noProof/>
            <w:webHidden/>
          </w:rPr>
        </w:r>
        <w:r>
          <w:rPr>
            <w:noProof/>
            <w:webHidden/>
          </w:rPr>
          <w:fldChar w:fldCharType="separate"/>
        </w:r>
        <w:r>
          <w:rPr>
            <w:noProof/>
            <w:webHidden/>
          </w:rPr>
          <w:t>41</w:t>
        </w:r>
        <w:r>
          <w:rPr>
            <w:noProof/>
            <w:webHidden/>
          </w:rPr>
          <w:fldChar w:fldCharType="end"/>
        </w:r>
      </w:hyperlink>
    </w:p>
    <w:p w14:paraId="63BB2866" w14:textId="664E4833" w:rsidR="00FC5BC8" w:rsidRDefault="00FC5BC8">
      <w:pPr>
        <w:pStyle w:val="TableofFigures"/>
        <w:tabs>
          <w:tab w:val="right" w:leader="dot" w:pos="8296"/>
        </w:tabs>
        <w:rPr>
          <w:rFonts w:eastAsiaTheme="minorEastAsia" w:cstheme="minorBidi"/>
          <w:caps w:val="0"/>
          <w:noProof/>
          <w:kern w:val="2"/>
          <w:sz w:val="24"/>
          <w:szCs w:val="24"/>
          <w:lang w:eastAsia="en-AU"/>
          <w14:ligatures w14:val="standardContextual"/>
        </w:rPr>
      </w:pPr>
      <w:hyperlink w:anchor="_Toc206083805" w:history="1">
        <w:r w:rsidRPr="007E1CB5">
          <w:rPr>
            <w:rStyle w:val="Hyperlink"/>
            <w:noProof/>
          </w:rPr>
          <w:t>Table 4. Value of ISS in BSE (AUD)</w:t>
        </w:r>
        <w:r>
          <w:rPr>
            <w:noProof/>
            <w:webHidden/>
          </w:rPr>
          <w:tab/>
        </w:r>
        <w:r>
          <w:rPr>
            <w:noProof/>
            <w:webHidden/>
          </w:rPr>
          <w:fldChar w:fldCharType="begin"/>
        </w:r>
        <w:r>
          <w:rPr>
            <w:noProof/>
            <w:webHidden/>
          </w:rPr>
          <w:instrText xml:space="preserve"> PAGEREF _Toc206083805 \h </w:instrText>
        </w:r>
        <w:r>
          <w:rPr>
            <w:noProof/>
            <w:webHidden/>
          </w:rPr>
        </w:r>
        <w:r>
          <w:rPr>
            <w:noProof/>
            <w:webHidden/>
          </w:rPr>
          <w:fldChar w:fldCharType="separate"/>
        </w:r>
        <w:r>
          <w:rPr>
            <w:noProof/>
            <w:webHidden/>
          </w:rPr>
          <w:t>44</w:t>
        </w:r>
        <w:r>
          <w:rPr>
            <w:noProof/>
            <w:webHidden/>
          </w:rPr>
          <w:fldChar w:fldCharType="end"/>
        </w:r>
      </w:hyperlink>
    </w:p>
    <w:p w14:paraId="1E09C56C" w14:textId="5774010E" w:rsidR="00FC5BC8" w:rsidRDefault="00FC5BC8">
      <w:pPr>
        <w:pStyle w:val="TableofFigures"/>
        <w:tabs>
          <w:tab w:val="right" w:leader="dot" w:pos="8296"/>
        </w:tabs>
        <w:rPr>
          <w:rFonts w:eastAsiaTheme="minorEastAsia" w:cstheme="minorBidi"/>
          <w:caps w:val="0"/>
          <w:noProof/>
          <w:kern w:val="2"/>
          <w:sz w:val="24"/>
          <w:szCs w:val="24"/>
          <w:lang w:eastAsia="en-AU"/>
          <w14:ligatures w14:val="standardContextual"/>
        </w:rPr>
      </w:pPr>
      <w:hyperlink w:anchor="_Toc206083806" w:history="1">
        <w:r w:rsidRPr="007E1CB5">
          <w:rPr>
            <w:rStyle w:val="Hyperlink"/>
            <w:noProof/>
          </w:rPr>
          <w:t>Table 5. Variables, parameters and formulas used to calculate costs of engagement in ISS</w:t>
        </w:r>
        <w:r>
          <w:rPr>
            <w:noProof/>
            <w:webHidden/>
          </w:rPr>
          <w:tab/>
        </w:r>
        <w:r>
          <w:rPr>
            <w:noProof/>
            <w:webHidden/>
          </w:rPr>
          <w:fldChar w:fldCharType="begin"/>
        </w:r>
        <w:r>
          <w:rPr>
            <w:noProof/>
            <w:webHidden/>
          </w:rPr>
          <w:instrText xml:space="preserve"> PAGEREF _Toc206083806 \h </w:instrText>
        </w:r>
        <w:r>
          <w:rPr>
            <w:noProof/>
            <w:webHidden/>
          </w:rPr>
        </w:r>
        <w:r>
          <w:rPr>
            <w:noProof/>
            <w:webHidden/>
          </w:rPr>
          <w:fldChar w:fldCharType="separate"/>
        </w:r>
        <w:r>
          <w:rPr>
            <w:noProof/>
            <w:webHidden/>
          </w:rPr>
          <w:t>51</w:t>
        </w:r>
        <w:r>
          <w:rPr>
            <w:noProof/>
            <w:webHidden/>
          </w:rPr>
          <w:fldChar w:fldCharType="end"/>
        </w:r>
      </w:hyperlink>
    </w:p>
    <w:p w14:paraId="77E77714" w14:textId="3647BE2A" w:rsidR="00FC5BC8" w:rsidRDefault="00FC5BC8">
      <w:pPr>
        <w:pStyle w:val="TableofFigures"/>
        <w:tabs>
          <w:tab w:val="right" w:leader="dot" w:pos="8296"/>
        </w:tabs>
        <w:rPr>
          <w:rFonts w:eastAsiaTheme="minorEastAsia" w:cstheme="minorBidi"/>
          <w:caps w:val="0"/>
          <w:noProof/>
          <w:kern w:val="2"/>
          <w:sz w:val="24"/>
          <w:szCs w:val="24"/>
          <w:lang w:eastAsia="en-AU"/>
          <w14:ligatures w14:val="standardContextual"/>
        </w:rPr>
      </w:pPr>
      <w:hyperlink w:anchor="_Toc206083807" w:history="1">
        <w:r w:rsidRPr="007E1CB5">
          <w:rPr>
            <w:rStyle w:val="Hyperlink"/>
            <w:noProof/>
          </w:rPr>
          <w:t>Table 6. Variables, parameters and formulas used to calculate avoided negative outcomes</w:t>
        </w:r>
        <w:r>
          <w:rPr>
            <w:noProof/>
            <w:webHidden/>
          </w:rPr>
          <w:tab/>
        </w:r>
        <w:r>
          <w:rPr>
            <w:noProof/>
            <w:webHidden/>
          </w:rPr>
          <w:fldChar w:fldCharType="begin"/>
        </w:r>
        <w:r>
          <w:rPr>
            <w:noProof/>
            <w:webHidden/>
          </w:rPr>
          <w:instrText xml:space="preserve"> PAGEREF _Toc206083807 \h </w:instrText>
        </w:r>
        <w:r>
          <w:rPr>
            <w:noProof/>
            <w:webHidden/>
          </w:rPr>
        </w:r>
        <w:r>
          <w:rPr>
            <w:noProof/>
            <w:webHidden/>
          </w:rPr>
          <w:fldChar w:fldCharType="separate"/>
        </w:r>
        <w:r>
          <w:rPr>
            <w:noProof/>
            <w:webHidden/>
          </w:rPr>
          <w:t>52</w:t>
        </w:r>
        <w:r>
          <w:rPr>
            <w:noProof/>
            <w:webHidden/>
          </w:rPr>
          <w:fldChar w:fldCharType="end"/>
        </w:r>
      </w:hyperlink>
    </w:p>
    <w:p w14:paraId="26B0CA87" w14:textId="05D038F9" w:rsidR="00FE35D1" w:rsidRPr="00FE35D1" w:rsidRDefault="003601F5" w:rsidP="00FE35D1">
      <w:r>
        <w:rPr>
          <w:rFonts w:asciiTheme="minorHAnsi" w:hAnsiTheme="minorHAnsi" w:cstheme="minorHAnsi"/>
          <w:b/>
          <w:bCs/>
          <w:caps/>
          <w:noProof/>
          <w:sz w:val="20"/>
          <w:szCs w:val="20"/>
          <w:lang w:val="en-US"/>
        </w:rPr>
        <w:fldChar w:fldCharType="end"/>
      </w:r>
    </w:p>
    <w:p w14:paraId="5BE99020" w14:textId="019EA137" w:rsidR="00FE35D1" w:rsidRDefault="00FE35D1" w:rsidP="000024FA">
      <w:pPr>
        <w:pStyle w:val="Heading1"/>
        <w:numPr>
          <w:ilvl w:val="0"/>
          <w:numId w:val="0"/>
        </w:numPr>
        <w:ind w:left="425"/>
      </w:pPr>
      <w:bookmarkStart w:id="8" w:name="_Toc184311736"/>
      <w:bookmarkStart w:id="9" w:name="_Toc206083775"/>
      <w:r>
        <w:t>List of Figures</w:t>
      </w:r>
      <w:bookmarkEnd w:id="8"/>
      <w:bookmarkEnd w:id="9"/>
    </w:p>
    <w:p w14:paraId="181EB8D4" w14:textId="3CB3BE29" w:rsidR="00FC5BC8" w:rsidRDefault="000F3A21">
      <w:pPr>
        <w:pStyle w:val="TableofFigures"/>
        <w:tabs>
          <w:tab w:val="right" w:leader="dot" w:pos="8296"/>
        </w:tabs>
        <w:rPr>
          <w:rFonts w:eastAsiaTheme="minorEastAsia" w:cstheme="minorBidi"/>
          <w:caps w:val="0"/>
          <w:noProof/>
          <w:kern w:val="2"/>
          <w:sz w:val="24"/>
          <w:szCs w:val="24"/>
          <w:lang w:eastAsia="en-AU"/>
          <w14:ligatures w14:val="standardContextual"/>
        </w:rPr>
      </w:pPr>
      <w:r>
        <w:fldChar w:fldCharType="begin"/>
      </w:r>
      <w:r>
        <w:instrText xml:space="preserve"> TOC \h \z \c "Figure" </w:instrText>
      </w:r>
      <w:r>
        <w:fldChar w:fldCharType="separate"/>
      </w:r>
      <w:hyperlink w:anchor="_Toc206083808" w:history="1">
        <w:r w:rsidR="00FC5BC8" w:rsidRPr="0025149E">
          <w:rPr>
            <w:rStyle w:val="Hyperlink"/>
            <w:noProof/>
          </w:rPr>
          <w:t>Figure 1. WOAH members’ official BSE risk status map in June 2024 (WOAH, here)</w:t>
        </w:r>
        <w:r w:rsidR="00FC5BC8">
          <w:rPr>
            <w:noProof/>
            <w:webHidden/>
          </w:rPr>
          <w:tab/>
        </w:r>
        <w:r w:rsidR="00FC5BC8">
          <w:rPr>
            <w:noProof/>
            <w:webHidden/>
          </w:rPr>
          <w:fldChar w:fldCharType="begin"/>
        </w:r>
        <w:r w:rsidR="00FC5BC8">
          <w:rPr>
            <w:noProof/>
            <w:webHidden/>
          </w:rPr>
          <w:instrText xml:space="preserve"> PAGEREF _Toc206083808 \h </w:instrText>
        </w:r>
        <w:r w:rsidR="00FC5BC8">
          <w:rPr>
            <w:noProof/>
            <w:webHidden/>
          </w:rPr>
        </w:r>
        <w:r w:rsidR="00FC5BC8">
          <w:rPr>
            <w:noProof/>
            <w:webHidden/>
          </w:rPr>
          <w:fldChar w:fldCharType="separate"/>
        </w:r>
        <w:r w:rsidR="00FC5BC8">
          <w:rPr>
            <w:noProof/>
            <w:webHidden/>
          </w:rPr>
          <w:t>19</w:t>
        </w:r>
        <w:r w:rsidR="00FC5BC8">
          <w:rPr>
            <w:noProof/>
            <w:webHidden/>
          </w:rPr>
          <w:fldChar w:fldCharType="end"/>
        </w:r>
      </w:hyperlink>
    </w:p>
    <w:p w14:paraId="6DA55D60" w14:textId="5EE1EC38" w:rsidR="00FC5BC8" w:rsidRDefault="00FC5BC8">
      <w:pPr>
        <w:pStyle w:val="TableofFigures"/>
        <w:tabs>
          <w:tab w:val="right" w:leader="dot" w:pos="8296"/>
        </w:tabs>
        <w:rPr>
          <w:rFonts w:eastAsiaTheme="minorEastAsia" w:cstheme="minorBidi"/>
          <w:caps w:val="0"/>
          <w:noProof/>
          <w:kern w:val="2"/>
          <w:sz w:val="24"/>
          <w:szCs w:val="24"/>
          <w:lang w:eastAsia="en-AU"/>
          <w14:ligatures w14:val="standardContextual"/>
        </w:rPr>
      </w:pPr>
      <w:hyperlink w:anchor="_Toc206083809" w:history="1">
        <w:r w:rsidRPr="0025149E">
          <w:rPr>
            <w:rStyle w:val="Hyperlink"/>
            <w:noProof/>
          </w:rPr>
          <w:t>Figure 2. Timeline of the standard revision process by activity and organisation</w:t>
        </w:r>
        <w:r>
          <w:rPr>
            <w:noProof/>
            <w:webHidden/>
          </w:rPr>
          <w:tab/>
        </w:r>
        <w:r>
          <w:rPr>
            <w:noProof/>
            <w:webHidden/>
          </w:rPr>
          <w:fldChar w:fldCharType="begin"/>
        </w:r>
        <w:r>
          <w:rPr>
            <w:noProof/>
            <w:webHidden/>
          </w:rPr>
          <w:instrText xml:space="preserve"> PAGEREF _Toc206083809 \h </w:instrText>
        </w:r>
        <w:r>
          <w:rPr>
            <w:noProof/>
            <w:webHidden/>
          </w:rPr>
        </w:r>
        <w:r>
          <w:rPr>
            <w:noProof/>
            <w:webHidden/>
          </w:rPr>
          <w:fldChar w:fldCharType="separate"/>
        </w:r>
        <w:r>
          <w:rPr>
            <w:noProof/>
            <w:webHidden/>
          </w:rPr>
          <w:t>21</w:t>
        </w:r>
        <w:r>
          <w:rPr>
            <w:noProof/>
            <w:webHidden/>
          </w:rPr>
          <w:fldChar w:fldCharType="end"/>
        </w:r>
      </w:hyperlink>
    </w:p>
    <w:p w14:paraId="7BFC2D33" w14:textId="7C2F9A1B" w:rsidR="00FC5BC8" w:rsidRDefault="00FC5BC8">
      <w:pPr>
        <w:pStyle w:val="TableofFigures"/>
        <w:tabs>
          <w:tab w:val="right" w:leader="dot" w:pos="8296"/>
        </w:tabs>
        <w:rPr>
          <w:rFonts w:eastAsiaTheme="minorEastAsia" w:cstheme="minorBidi"/>
          <w:caps w:val="0"/>
          <w:noProof/>
          <w:kern w:val="2"/>
          <w:sz w:val="24"/>
          <w:szCs w:val="24"/>
          <w:lang w:eastAsia="en-AU"/>
          <w14:ligatures w14:val="standardContextual"/>
        </w:rPr>
      </w:pPr>
      <w:hyperlink w:anchor="_Toc206083810" w:history="1">
        <w:r w:rsidRPr="0025149E">
          <w:rPr>
            <w:rStyle w:val="Hyperlink"/>
            <w:noProof/>
          </w:rPr>
          <w:t>Figure 3. WOAH standard setting processes</w:t>
        </w:r>
        <w:r>
          <w:rPr>
            <w:noProof/>
            <w:webHidden/>
          </w:rPr>
          <w:tab/>
        </w:r>
        <w:r>
          <w:rPr>
            <w:noProof/>
            <w:webHidden/>
          </w:rPr>
          <w:fldChar w:fldCharType="begin"/>
        </w:r>
        <w:r>
          <w:rPr>
            <w:noProof/>
            <w:webHidden/>
          </w:rPr>
          <w:instrText xml:space="preserve"> PAGEREF _Toc206083810 \h </w:instrText>
        </w:r>
        <w:r>
          <w:rPr>
            <w:noProof/>
            <w:webHidden/>
          </w:rPr>
        </w:r>
        <w:r>
          <w:rPr>
            <w:noProof/>
            <w:webHidden/>
          </w:rPr>
          <w:fldChar w:fldCharType="separate"/>
        </w:r>
        <w:r>
          <w:rPr>
            <w:noProof/>
            <w:webHidden/>
          </w:rPr>
          <w:t>22</w:t>
        </w:r>
        <w:r>
          <w:rPr>
            <w:noProof/>
            <w:webHidden/>
          </w:rPr>
          <w:fldChar w:fldCharType="end"/>
        </w:r>
      </w:hyperlink>
    </w:p>
    <w:p w14:paraId="3D9B7E91" w14:textId="145EEB27" w:rsidR="00FE35D1" w:rsidRPr="00FE35D1" w:rsidRDefault="000F3A21" w:rsidP="00FE35D1">
      <w:r>
        <w:rPr>
          <w:b/>
          <w:bCs/>
          <w:noProof/>
          <w:lang w:val="en-US"/>
        </w:rPr>
        <w:fldChar w:fldCharType="end"/>
      </w:r>
    </w:p>
    <w:p w14:paraId="7E186581" w14:textId="77777777" w:rsidR="00655F6F" w:rsidRDefault="00655F6F" w:rsidP="008539CE">
      <w:pPr>
        <w:sectPr w:rsidR="00655F6F">
          <w:pgSz w:w="11906" w:h="16838"/>
          <w:pgMar w:top="1440" w:right="1800" w:bottom="1440" w:left="1800" w:header="720" w:footer="720" w:gutter="0"/>
          <w:cols w:space="720"/>
        </w:sectPr>
      </w:pPr>
    </w:p>
    <w:p w14:paraId="546BF2E8" w14:textId="545F5C71" w:rsidR="00176CED" w:rsidRDefault="00F34360" w:rsidP="000024FA">
      <w:pPr>
        <w:pStyle w:val="AppHead1"/>
      </w:pPr>
      <w:bookmarkStart w:id="10" w:name="_Toc184311737"/>
      <w:bookmarkStart w:id="11" w:name="_Toc206083776"/>
      <w:r>
        <w:lastRenderedPageBreak/>
        <w:t>Acronyms</w:t>
      </w:r>
      <w:bookmarkEnd w:id="10"/>
      <w:bookmarkEnd w:id="1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521"/>
      </w:tblGrid>
      <w:tr w:rsidR="00F34360" w:rsidRPr="00F34360" w14:paraId="23E8EA32" w14:textId="77777777" w:rsidTr="00F34360">
        <w:trPr>
          <w:trHeight w:val="283"/>
        </w:trPr>
        <w:tc>
          <w:tcPr>
            <w:tcW w:w="1696" w:type="dxa"/>
            <w:vAlign w:val="bottom"/>
          </w:tcPr>
          <w:p w14:paraId="345F9357" w14:textId="59F3E3F5" w:rsidR="00F34360" w:rsidRPr="00F34360" w:rsidRDefault="00F34360" w:rsidP="002F3722">
            <w:pPr>
              <w:spacing w:before="60" w:after="60" w:line="240" w:lineRule="auto"/>
            </w:pPr>
            <w:r w:rsidRPr="00F34360">
              <w:rPr>
                <w:color w:val="000000"/>
              </w:rPr>
              <w:t>ACDP</w:t>
            </w:r>
          </w:p>
        </w:tc>
        <w:tc>
          <w:tcPr>
            <w:tcW w:w="6521" w:type="dxa"/>
            <w:vAlign w:val="bottom"/>
          </w:tcPr>
          <w:p w14:paraId="51A43743" w14:textId="4FE186E0" w:rsidR="002D6A99" w:rsidRPr="00F34360" w:rsidRDefault="00F34360" w:rsidP="002F3722">
            <w:pPr>
              <w:spacing w:before="60" w:after="60" w:line="240" w:lineRule="auto"/>
              <w:rPr>
                <w:color w:val="000000"/>
              </w:rPr>
            </w:pPr>
            <w:r w:rsidRPr="00F34360">
              <w:rPr>
                <w:color w:val="000000"/>
              </w:rPr>
              <w:t>Australian Centre for Disease Preparedness</w:t>
            </w:r>
          </w:p>
        </w:tc>
      </w:tr>
      <w:tr w:rsidR="00AC1476" w:rsidRPr="00F34360" w14:paraId="691A0C8F" w14:textId="77777777" w:rsidTr="00F34360">
        <w:trPr>
          <w:trHeight w:val="283"/>
        </w:trPr>
        <w:tc>
          <w:tcPr>
            <w:tcW w:w="1696" w:type="dxa"/>
            <w:vAlign w:val="bottom"/>
          </w:tcPr>
          <w:p w14:paraId="427EA42D" w14:textId="20F5EF2D" w:rsidR="00AC1476" w:rsidRPr="00F34360" w:rsidRDefault="00AC1476" w:rsidP="002F3722">
            <w:pPr>
              <w:spacing w:before="60" w:after="60" w:line="240" w:lineRule="auto"/>
              <w:rPr>
                <w:color w:val="000000"/>
              </w:rPr>
            </w:pPr>
            <w:r>
              <w:rPr>
                <w:color w:val="000000"/>
              </w:rPr>
              <w:t>AHA</w:t>
            </w:r>
          </w:p>
        </w:tc>
        <w:tc>
          <w:tcPr>
            <w:tcW w:w="6521" w:type="dxa"/>
            <w:vAlign w:val="bottom"/>
          </w:tcPr>
          <w:p w14:paraId="0F6D2466" w14:textId="2760A9EF" w:rsidR="00AC1476" w:rsidRPr="00F34360" w:rsidRDefault="00AC1476" w:rsidP="002F3722">
            <w:pPr>
              <w:spacing w:before="60" w:after="60" w:line="240" w:lineRule="auto"/>
              <w:rPr>
                <w:color w:val="000000"/>
              </w:rPr>
            </w:pPr>
            <w:r w:rsidRPr="00D16F7F">
              <w:rPr>
                <w:rStyle w:val="Advisorytext"/>
                <w:color w:val="auto"/>
              </w:rPr>
              <w:t>Animal Health Australia</w:t>
            </w:r>
          </w:p>
        </w:tc>
      </w:tr>
      <w:tr w:rsidR="002D6A99" w:rsidRPr="00F34360" w14:paraId="128250A2" w14:textId="77777777" w:rsidTr="00F34360">
        <w:trPr>
          <w:trHeight w:val="283"/>
        </w:trPr>
        <w:tc>
          <w:tcPr>
            <w:tcW w:w="1696" w:type="dxa"/>
            <w:vAlign w:val="bottom"/>
          </w:tcPr>
          <w:p w14:paraId="38DAA23B" w14:textId="7A8684C9" w:rsidR="002D6A99" w:rsidRPr="002D6A99" w:rsidRDefault="002D6A99" w:rsidP="002F3722">
            <w:pPr>
              <w:spacing w:before="60" w:after="60" w:line="240" w:lineRule="auto"/>
              <w:rPr>
                <w:color w:val="000000"/>
              </w:rPr>
            </w:pPr>
            <w:r w:rsidRPr="002D6A99">
              <w:rPr>
                <w:color w:val="000000"/>
              </w:rPr>
              <w:t>ALEC</w:t>
            </w:r>
          </w:p>
        </w:tc>
        <w:tc>
          <w:tcPr>
            <w:tcW w:w="6521" w:type="dxa"/>
            <w:vAlign w:val="bottom"/>
          </w:tcPr>
          <w:p w14:paraId="368E7745" w14:textId="6E89E784" w:rsidR="002D6A99" w:rsidRPr="002D6A99" w:rsidRDefault="002D6A99" w:rsidP="002F3722">
            <w:pPr>
              <w:spacing w:before="60" w:after="60" w:line="240" w:lineRule="auto"/>
              <w:rPr>
                <w:color w:val="000000"/>
              </w:rPr>
            </w:pPr>
            <w:r w:rsidRPr="002D6A99">
              <w:rPr>
                <w:color w:val="000000"/>
              </w:rPr>
              <w:t>Australian Live Exporters’ Council</w:t>
            </w:r>
          </w:p>
        </w:tc>
      </w:tr>
      <w:tr w:rsidR="002D6A99" w:rsidRPr="00F34360" w14:paraId="2EA5CFBC" w14:textId="77777777" w:rsidTr="00F34360">
        <w:trPr>
          <w:trHeight w:val="283"/>
        </w:trPr>
        <w:tc>
          <w:tcPr>
            <w:tcW w:w="1696" w:type="dxa"/>
            <w:vAlign w:val="bottom"/>
          </w:tcPr>
          <w:p w14:paraId="52FF3F20" w14:textId="7179AB9F" w:rsidR="002D6A99" w:rsidRPr="002D6A99" w:rsidRDefault="002D6A99" w:rsidP="002F3722">
            <w:pPr>
              <w:spacing w:before="60" w:after="60" w:line="240" w:lineRule="auto"/>
              <w:rPr>
                <w:color w:val="000000"/>
              </w:rPr>
            </w:pPr>
            <w:r w:rsidRPr="002D6A99">
              <w:rPr>
                <w:color w:val="000000"/>
              </w:rPr>
              <w:t>AMIC</w:t>
            </w:r>
          </w:p>
        </w:tc>
        <w:tc>
          <w:tcPr>
            <w:tcW w:w="6521" w:type="dxa"/>
            <w:vAlign w:val="bottom"/>
          </w:tcPr>
          <w:p w14:paraId="25259A86" w14:textId="55D34D0F" w:rsidR="002D6A99" w:rsidRPr="002D6A99" w:rsidRDefault="002D6A99" w:rsidP="002F3722">
            <w:pPr>
              <w:spacing w:before="60" w:after="60" w:line="240" w:lineRule="auto"/>
              <w:rPr>
                <w:color w:val="000000"/>
              </w:rPr>
            </w:pPr>
            <w:r w:rsidRPr="002D6A99">
              <w:rPr>
                <w:color w:val="000000"/>
              </w:rPr>
              <w:t>Australian Meat Industry Council</w:t>
            </w:r>
          </w:p>
        </w:tc>
      </w:tr>
      <w:tr w:rsidR="00F34360" w:rsidRPr="00F34360" w14:paraId="77D1954D" w14:textId="77777777" w:rsidTr="00F34360">
        <w:trPr>
          <w:trHeight w:val="283"/>
        </w:trPr>
        <w:tc>
          <w:tcPr>
            <w:tcW w:w="1696" w:type="dxa"/>
            <w:vAlign w:val="bottom"/>
          </w:tcPr>
          <w:p w14:paraId="396D465F" w14:textId="68098871" w:rsidR="00F34360" w:rsidRPr="00F34360" w:rsidRDefault="00F34360" w:rsidP="002F3722">
            <w:pPr>
              <w:spacing w:before="60" w:after="60" w:line="240" w:lineRule="auto"/>
            </w:pPr>
            <w:r w:rsidRPr="00F34360">
              <w:rPr>
                <w:color w:val="000000"/>
              </w:rPr>
              <w:t>ARA</w:t>
            </w:r>
          </w:p>
        </w:tc>
        <w:tc>
          <w:tcPr>
            <w:tcW w:w="6521" w:type="dxa"/>
            <w:vAlign w:val="bottom"/>
          </w:tcPr>
          <w:p w14:paraId="30318BEB" w14:textId="50C452C2" w:rsidR="00F34360" w:rsidRPr="00F34360" w:rsidRDefault="00F34360" w:rsidP="002F3722">
            <w:pPr>
              <w:spacing w:before="60" w:after="60" w:line="240" w:lineRule="auto"/>
              <w:rPr>
                <w:color w:val="000000"/>
              </w:rPr>
            </w:pPr>
            <w:r w:rsidRPr="00F34360">
              <w:rPr>
                <w:color w:val="000000"/>
              </w:rPr>
              <w:t>Australian Renderers Association</w:t>
            </w:r>
          </w:p>
        </w:tc>
      </w:tr>
      <w:tr w:rsidR="00F34360" w:rsidRPr="00F34360" w14:paraId="2ABC4A30" w14:textId="77777777" w:rsidTr="00F34360">
        <w:trPr>
          <w:trHeight w:val="283"/>
        </w:trPr>
        <w:tc>
          <w:tcPr>
            <w:tcW w:w="1696" w:type="dxa"/>
            <w:vAlign w:val="bottom"/>
          </w:tcPr>
          <w:p w14:paraId="3E59B07F" w14:textId="16A7B20C" w:rsidR="00F34360" w:rsidRPr="00F34360" w:rsidRDefault="00F34360" w:rsidP="002F3722">
            <w:pPr>
              <w:spacing w:before="60" w:after="60" w:line="240" w:lineRule="auto"/>
            </w:pPr>
            <w:r w:rsidRPr="00F34360">
              <w:rPr>
                <w:color w:val="000000"/>
              </w:rPr>
              <w:t>BSE</w:t>
            </w:r>
          </w:p>
        </w:tc>
        <w:tc>
          <w:tcPr>
            <w:tcW w:w="6521" w:type="dxa"/>
            <w:vAlign w:val="bottom"/>
          </w:tcPr>
          <w:p w14:paraId="11D4C5FE" w14:textId="3A663A78" w:rsidR="00F34360" w:rsidRPr="00F34360" w:rsidRDefault="00F34360" w:rsidP="002F3722">
            <w:pPr>
              <w:spacing w:before="60" w:after="60" w:line="240" w:lineRule="auto"/>
              <w:rPr>
                <w:color w:val="000000"/>
              </w:rPr>
            </w:pPr>
            <w:r w:rsidRPr="00F34360">
              <w:rPr>
                <w:color w:val="000000"/>
              </w:rPr>
              <w:t>bovine spongiform encephalopathy</w:t>
            </w:r>
          </w:p>
        </w:tc>
      </w:tr>
      <w:tr w:rsidR="00F34360" w:rsidRPr="00F34360" w14:paraId="5748B6C2" w14:textId="77777777" w:rsidTr="00F34360">
        <w:trPr>
          <w:trHeight w:val="283"/>
        </w:trPr>
        <w:tc>
          <w:tcPr>
            <w:tcW w:w="1696" w:type="dxa"/>
            <w:vAlign w:val="bottom"/>
          </w:tcPr>
          <w:p w14:paraId="1476CDA9" w14:textId="7EDDEBB3" w:rsidR="00F34360" w:rsidRPr="00F34360" w:rsidRDefault="00F34360" w:rsidP="002F3722">
            <w:pPr>
              <w:spacing w:before="60" w:after="60" w:line="240" w:lineRule="auto"/>
            </w:pPr>
            <w:r w:rsidRPr="00F34360">
              <w:rPr>
                <w:color w:val="000000"/>
              </w:rPr>
              <w:t>CVO</w:t>
            </w:r>
          </w:p>
        </w:tc>
        <w:tc>
          <w:tcPr>
            <w:tcW w:w="6521" w:type="dxa"/>
            <w:vAlign w:val="bottom"/>
          </w:tcPr>
          <w:p w14:paraId="2CBC850B" w14:textId="22A837A0" w:rsidR="00F34360" w:rsidRPr="00F34360" w:rsidRDefault="00F34360" w:rsidP="002F3722">
            <w:pPr>
              <w:spacing w:before="60" w:after="60" w:line="240" w:lineRule="auto"/>
              <w:rPr>
                <w:color w:val="000000"/>
              </w:rPr>
            </w:pPr>
            <w:r w:rsidRPr="00F34360">
              <w:rPr>
                <w:color w:val="000000"/>
              </w:rPr>
              <w:t>Chief Veterinary Officer (Australia)</w:t>
            </w:r>
          </w:p>
        </w:tc>
      </w:tr>
      <w:tr w:rsidR="00F34360" w:rsidRPr="00F34360" w14:paraId="1A657938" w14:textId="77777777" w:rsidTr="00F34360">
        <w:trPr>
          <w:trHeight w:val="283"/>
        </w:trPr>
        <w:tc>
          <w:tcPr>
            <w:tcW w:w="1696" w:type="dxa"/>
            <w:vAlign w:val="bottom"/>
          </w:tcPr>
          <w:p w14:paraId="1B98206C" w14:textId="2A6AC9DF" w:rsidR="00F34360" w:rsidRPr="00F34360" w:rsidRDefault="00F34360" w:rsidP="002F3722">
            <w:pPr>
              <w:spacing w:before="60" w:after="60" w:line="240" w:lineRule="auto"/>
            </w:pPr>
            <w:r w:rsidRPr="00F34360">
              <w:rPr>
                <w:color w:val="000000"/>
              </w:rPr>
              <w:t>DAFF</w:t>
            </w:r>
          </w:p>
        </w:tc>
        <w:tc>
          <w:tcPr>
            <w:tcW w:w="6521" w:type="dxa"/>
            <w:vAlign w:val="bottom"/>
          </w:tcPr>
          <w:p w14:paraId="362090F3" w14:textId="5DCF3432" w:rsidR="00F34360" w:rsidRPr="00F34360" w:rsidRDefault="00F34360" w:rsidP="002F3722">
            <w:pPr>
              <w:spacing w:before="60" w:after="60" w:line="240" w:lineRule="auto"/>
              <w:rPr>
                <w:color w:val="000000"/>
              </w:rPr>
            </w:pPr>
            <w:r w:rsidRPr="00F34360">
              <w:rPr>
                <w:color w:val="000000"/>
              </w:rPr>
              <w:t xml:space="preserve">Department of Agriculture, Fisheries and Forestry </w:t>
            </w:r>
          </w:p>
        </w:tc>
      </w:tr>
      <w:tr w:rsidR="00937660" w:rsidRPr="00F34360" w14:paraId="39F26BC6" w14:textId="77777777" w:rsidTr="00F34360">
        <w:trPr>
          <w:trHeight w:val="283"/>
        </w:trPr>
        <w:tc>
          <w:tcPr>
            <w:tcW w:w="1696" w:type="dxa"/>
            <w:vAlign w:val="bottom"/>
          </w:tcPr>
          <w:p w14:paraId="788547D9" w14:textId="155CE601" w:rsidR="00937660" w:rsidRPr="00F34360" w:rsidRDefault="00937660" w:rsidP="002F3722">
            <w:pPr>
              <w:spacing w:before="60" w:after="60" w:line="240" w:lineRule="auto"/>
              <w:rPr>
                <w:color w:val="000000"/>
              </w:rPr>
            </w:pPr>
            <w:r>
              <w:rPr>
                <w:color w:val="000000"/>
              </w:rPr>
              <w:t>DFAT</w:t>
            </w:r>
          </w:p>
        </w:tc>
        <w:tc>
          <w:tcPr>
            <w:tcW w:w="6521" w:type="dxa"/>
            <w:vAlign w:val="bottom"/>
          </w:tcPr>
          <w:p w14:paraId="2C22465F" w14:textId="7C789C94" w:rsidR="00937660" w:rsidRPr="00F34360" w:rsidRDefault="00937660" w:rsidP="002F3722">
            <w:pPr>
              <w:spacing w:before="60" w:after="60" w:line="240" w:lineRule="auto"/>
              <w:rPr>
                <w:color w:val="000000"/>
              </w:rPr>
            </w:pPr>
            <w:r>
              <w:rPr>
                <w:color w:val="000000"/>
              </w:rPr>
              <w:t>Department of Foreign Affairs and Trade</w:t>
            </w:r>
          </w:p>
        </w:tc>
      </w:tr>
      <w:tr w:rsidR="00F34360" w:rsidRPr="00F34360" w14:paraId="12961765" w14:textId="77777777" w:rsidTr="00F34360">
        <w:trPr>
          <w:trHeight w:val="283"/>
        </w:trPr>
        <w:tc>
          <w:tcPr>
            <w:tcW w:w="1696" w:type="dxa"/>
            <w:vAlign w:val="bottom"/>
          </w:tcPr>
          <w:p w14:paraId="41E82300" w14:textId="7112473D" w:rsidR="00F34360" w:rsidRPr="00F34360" w:rsidRDefault="00F34360" w:rsidP="002F3722">
            <w:pPr>
              <w:spacing w:before="60" w:after="60" w:line="240" w:lineRule="auto"/>
            </w:pPr>
            <w:r w:rsidRPr="00F34360">
              <w:rPr>
                <w:color w:val="000000"/>
              </w:rPr>
              <w:t>FSANZ</w:t>
            </w:r>
          </w:p>
        </w:tc>
        <w:tc>
          <w:tcPr>
            <w:tcW w:w="6521" w:type="dxa"/>
            <w:vAlign w:val="bottom"/>
          </w:tcPr>
          <w:p w14:paraId="01937FAF" w14:textId="0297DE23" w:rsidR="00F34360" w:rsidRPr="00F34360" w:rsidRDefault="00F34360" w:rsidP="002F3722">
            <w:pPr>
              <w:spacing w:before="60" w:after="60" w:line="240" w:lineRule="auto"/>
              <w:rPr>
                <w:color w:val="000000"/>
              </w:rPr>
            </w:pPr>
            <w:r w:rsidRPr="00F34360">
              <w:rPr>
                <w:color w:val="000000"/>
              </w:rPr>
              <w:t xml:space="preserve">Food Standards Australia </w:t>
            </w:r>
            <w:r w:rsidR="00AC1476">
              <w:rPr>
                <w:color w:val="000000"/>
              </w:rPr>
              <w:t xml:space="preserve">and </w:t>
            </w:r>
            <w:r w:rsidRPr="00F34360">
              <w:rPr>
                <w:color w:val="000000"/>
              </w:rPr>
              <w:t>New Zealand</w:t>
            </w:r>
          </w:p>
        </w:tc>
      </w:tr>
      <w:tr w:rsidR="00F34360" w:rsidRPr="00F34360" w14:paraId="0B4CA3E1" w14:textId="77777777" w:rsidTr="00F34360">
        <w:trPr>
          <w:trHeight w:val="283"/>
        </w:trPr>
        <w:tc>
          <w:tcPr>
            <w:tcW w:w="1696" w:type="dxa"/>
            <w:vAlign w:val="bottom"/>
          </w:tcPr>
          <w:p w14:paraId="230C47B9" w14:textId="7A737241" w:rsidR="00F34360" w:rsidRPr="00F34360" w:rsidRDefault="00F34360" w:rsidP="002F3722">
            <w:pPr>
              <w:spacing w:before="60" w:after="60" w:line="240" w:lineRule="auto"/>
            </w:pPr>
            <w:r w:rsidRPr="00F34360">
              <w:rPr>
                <w:color w:val="000000"/>
              </w:rPr>
              <w:t>ISS</w:t>
            </w:r>
          </w:p>
        </w:tc>
        <w:tc>
          <w:tcPr>
            <w:tcW w:w="6521" w:type="dxa"/>
            <w:vAlign w:val="bottom"/>
          </w:tcPr>
          <w:p w14:paraId="292854DE" w14:textId="39F32E09" w:rsidR="00F34360" w:rsidRPr="00F34360" w:rsidRDefault="00F34360" w:rsidP="002F3722">
            <w:pPr>
              <w:spacing w:before="60" w:after="60" w:line="240" w:lineRule="auto"/>
            </w:pPr>
            <w:r w:rsidRPr="00F34360">
              <w:rPr>
                <w:color w:val="000000"/>
              </w:rPr>
              <w:t xml:space="preserve">international standard setting </w:t>
            </w:r>
          </w:p>
        </w:tc>
      </w:tr>
      <w:tr w:rsidR="00F34360" w:rsidRPr="00F34360" w14:paraId="5CA00FE3" w14:textId="77777777" w:rsidTr="00F34360">
        <w:trPr>
          <w:trHeight w:val="283"/>
        </w:trPr>
        <w:tc>
          <w:tcPr>
            <w:tcW w:w="1696" w:type="dxa"/>
            <w:vAlign w:val="bottom"/>
          </w:tcPr>
          <w:p w14:paraId="6E27B7D0" w14:textId="4139E404" w:rsidR="00F34360" w:rsidRPr="00F34360" w:rsidRDefault="00F34360" w:rsidP="002F3722">
            <w:pPr>
              <w:spacing w:before="60" w:after="60" w:line="240" w:lineRule="auto"/>
            </w:pPr>
            <w:r w:rsidRPr="00F34360">
              <w:rPr>
                <w:color w:val="000000"/>
              </w:rPr>
              <w:t>MIC</w:t>
            </w:r>
          </w:p>
        </w:tc>
        <w:tc>
          <w:tcPr>
            <w:tcW w:w="6521" w:type="dxa"/>
            <w:vAlign w:val="bottom"/>
          </w:tcPr>
          <w:p w14:paraId="04C38A5F" w14:textId="64ED31A3" w:rsidR="00F34360" w:rsidRPr="00F34360" w:rsidRDefault="00F34360" w:rsidP="002F3722">
            <w:pPr>
              <w:spacing w:before="60" w:after="60" w:line="240" w:lineRule="auto"/>
            </w:pPr>
            <w:r w:rsidRPr="00F34360">
              <w:rPr>
                <w:color w:val="000000"/>
              </w:rPr>
              <w:t xml:space="preserve">Meat Industry Council </w:t>
            </w:r>
          </w:p>
        </w:tc>
      </w:tr>
      <w:tr w:rsidR="00F34360" w:rsidRPr="00F34360" w14:paraId="53FC0B20" w14:textId="77777777" w:rsidTr="00F34360">
        <w:trPr>
          <w:trHeight w:val="283"/>
        </w:trPr>
        <w:tc>
          <w:tcPr>
            <w:tcW w:w="1696" w:type="dxa"/>
            <w:vAlign w:val="bottom"/>
          </w:tcPr>
          <w:p w14:paraId="1E0CBCBD" w14:textId="7A961F4A" w:rsidR="00F34360" w:rsidRPr="00F34360" w:rsidRDefault="00F34360" w:rsidP="002F3722">
            <w:pPr>
              <w:spacing w:before="60" w:after="60" w:line="240" w:lineRule="auto"/>
            </w:pPr>
            <w:r w:rsidRPr="00F34360">
              <w:rPr>
                <w:color w:val="000000"/>
              </w:rPr>
              <w:t>OCVO</w:t>
            </w:r>
          </w:p>
        </w:tc>
        <w:tc>
          <w:tcPr>
            <w:tcW w:w="6521" w:type="dxa"/>
            <w:vAlign w:val="bottom"/>
          </w:tcPr>
          <w:p w14:paraId="69B15AFA" w14:textId="6C3B5B5B" w:rsidR="00F34360" w:rsidRPr="00F34360" w:rsidRDefault="00F34360" w:rsidP="002F3722">
            <w:pPr>
              <w:spacing w:before="60" w:after="60" w:line="240" w:lineRule="auto"/>
            </w:pPr>
            <w:r w:rsidRPr="00F34360">
              <w:rPr>
                <w:color w:val="000000"/>
              </w:rPr>
              <w:t>Officer of the Chief Veterinary Officer</w:t>
            </w:r>
          </w:p>
        </w:tc>
      </w:tr>
      <w:tr w:rsidR="00F34360" w:rsidRPr="00F34360" w14:paraId="372F9DF6" w14:textId="77777777" w:rsidTr="00F34360">
        <w:trPr>
          <w:trHeight w:val="283"/>
        </w:trPr>
        <w:tc>
          <w:tcPr>
            <w:tcW w:w="1696" w:type="dxa"/>
            <w:vAlign w:val="bottom"/>
          </w:tcPr>
          <w:p w14:paraId="4EDC60E4" w14:textId="3C2CAD77" w:rsidR="00F34360" w:rsidRPr="00F34360" w:rsidRDefault="00F34360" w:rsidP="002F3722">
            <w:pPr>
              <w:spacing w:before="60" w:after="60" w:line="240" w:lineRule="auto"/>
            </w:pPr>
            <w:r w:rsidRPr="00F34360">
              <w:rPr>
                <w:color w:val="000000"/>
              </w:rPr>
              <w:t>OECD</w:t>
            </w:r>
          </w:p>
        </w:tc>
        <w:tc>
          <w:tcPr>
            <w:tcW w:w="6521" w:type="dxa"/>
            <w:vAlign w:val="bottom"/>
          </w:tcPr>
          <w:p w14:paraId="777DFBBE" w14:textId="19078E5E" w:rsidR="00F34360" w:rsidRPr="00F34360" w:rsidRDefault="00F34360" w:rsidP="002F3722">
            <w:pPr>
              <w:spacing w:before="60" w:after="60" w:line="240" w:lineRule="auto"/>
            </w:pPr>
            <w:r w:rsidRPr="00F34360">
              <w:rPr>
                <w:color w:val="000000"/>
              </w:rPr>
              <w:t>Organisation for Economic Co-operation and Development </w:t>
            </w:r>
          </w:p>
        </w:tc>
      </w:tr>
      <w:tr w:rsidR="00F34360" w:rsidRPr="00F34360" w14:paraId="49F73AE8" w14:textId="77777777" w:rsidTr="00F34360">
        <w:trPr>
          <w:trHeight w:val="283"/>
        </w:trPr>
        <w:tc>
          <w:tcPr>
            <w:tcW w:w="1696" w:type="dxa"/>
            <w:vAlign w:val="bottom"/>
          </w:tcPr>
          <w:p w14:paraId="19BF096F" w14:textId="51ED6159" w:rsidR="00F34360" w:rsidRPr="00F34360" w:rsidRDefault="00F34360" w:rsidP="002F3722">
            <w:pPr>
              <w:spacing w:before="60" w:after="60" w:line="240" w:lineRule="auto"/>
            </w:pPr>
            <w:r w:rsidRPr="00F34360">
              <w:rPr>
                <w:color w:val="000000"/>
              </w:rPr>
              <w:t>SCAD</w:t>
            </w:r>
          </w:p>
        </w:tc>
        <w:tc>
          <w:tcPr>
            <w:tcW w:w="6521" w:type="dxa"/>
            <w:vAlign w:val="bottom"/>
          </w:tcPr>
          <w:p w14:paraId="50D9AE0E" w14:textId="1ABC6BD3" w:rsidR="00F34360" w:rsidRPr="00F34360" w:rsidRDefault="00F34360" w:rsidP="002F3722">
            <w:pPr>
              <w:spacing w:before="60" w:after="60" w:line="240" w:lineRule="auto"/>
            </w:pPr>
            <w:r w:rsidRPr="00F34360">
              <w:rPr>
                <w:color w:val="000000"/>
              </w:rPr>
              <w:t>WOAH’s Scientific Commission for Animal Diseases</w:t>
            </w:r>
          </w:p>
        </w:tc>
      </w:tr>
      <w:tr w:rsidR="00AC1476" w:rsidRPr="00F34360" w14:paraId="5A8423F8" w14:textId="77777777" w:rsidTr="00F34360">
        <w:trPr>
          <w:trHeight w:val="283"/>
        </w:trPr>
        <w:tc>
          <w:tcPr>
            <w:tcW w:w="1696" w:type="dxa"/>
            <w:vAlign w:val="bottom"/>
          </w:tcPr>
          <w:p w14:paraId="7BF00B91" w14:textId="1A64D23D" w:rsidR="00AC1476" w:rsidRPr="00F34360" w:rsidRDefault="00AC1476" w:rsidP="002F3722">
            <w:pPr>
              <w:spacing w:before="60" w:after="60" w:line="240" w:lineRule="auto"/>
              <w:rPr>
                <w:color w:val="000000"/>
              </w:rPr>
            </w:pPr>
            <w:r w:rsidRPr="00CD0105">
              <w:t>SFMCA</w:t>
            </w:r>
          </w:p>
        </w:tc>
        <w:tc>
          <w:tcPr>
            <w:tcW w:w="6521" w:type="dxa"/>
            <w:vAlign w:val="bottom"/>
          </w:tcPr>
          <w:p w14:paraId="42F8B6A8" w14:textId="0871370C" w:rsidR="00AC1476" w:rsidRPr="00F34360" w:rsidRDefault="00AC1476" w:rsidP="002F3722">
            <w:pPr>
              <w:spacing w:before="60" w:after="60" w:line="240" w:lineRule="auto"/>
              <w:rPr>
                <w:color w:val="000000"/>
              </w:rPr>
            </w:pPr>
            <w:r>
              <w:t>Stock Feed Manufacturers' Council of Australia</w:t>
            </w:r>
          </w:p>
        </w:tc>
      </w:tr>
      <w:tr w:rsidR="00F34360" w:rsidRPr="00F34360" w14:paraId="171B4C51" w14:textId="77777777" w:rsidTr="00F34360">
        <w:trPr>
          <w:trHeight w:val="283"/>
        </w:trPr>
        <w:tc>
          <w:tcPr>
            <w:tcW w:w="1696" w:type="dxa"/>
            <w:vAlign w:val="bottom"/>
          </w:tcPr>
          <w:p w14:paraId="40043A5D" w14:textId="498144FC" w:rsidR="00F34360" w:rsidRPr="00F34360" w:rsidRDefault="00F34360" w:rsidP="002F3722">
            <w:pPr>
              <w:spacing w:before="60" w:after="60" w:line="240" w:lineRule="auto"/>
            </w:pPr>
            <w:r w:rsidRPr="00F34360">
              <w:rPr>
                <w:color w:val="000000"/>
              </w:rPr>
              <w:t>SRM</w:t>
            </w:r>
          </w:p>
        </w:tc>
        <w:tc>
          <w:tcPr>
            <w:tcW w:w="6521" w:type="dxa"/>
            <w:vAlign w:val="bottom"/>
          </w:tcPr>
          <w:p w14:paraId="7D3FE403" w14:textId="7F404E63" w:rsidR="00F34360" w:rsidRPr="00F34360" w:rsidRDefault="00F34360" w:rsidP="002F3722">
            <w:pPr>
              <w:spacing w:before="60" w:after="60" w:line="240" w:lineRule="auto"/>
            </w:pPr>
            <w:r w:rsidRPr="00F34360">
              <w:rPr>
                <w:color w:val="000000"/>
              </w:rPr>
              <w:t>specified risk material</w:t>
            </w:r>
          </w:p>
        </w:tc>
      </w:tr>
      <w:tr w:rsidR="00F34360" w:rsidRPr="00F34360" w14:paraId="34DAB695" w14:textId="77777777" w:rsidTr="00F34360">
        <w:trPr>
          <w:trHeight w:val="283"/>
        </w:trPr>
        <w:tc>
          <w:tcPr>
            <w:tcW w:w="1696" w:type="dxa"/>
            <w:vAlign w:val="bottom"/>
          </w:tcPr>
          <w:p w14:paraId="193EDDD4" w14:textId="610C19CF" w:rsidR="00F34360" w:rsidRPr="00F34360" w:rsidRDefault="00F34360" w:rsidP="002F3722">
            <w:pPr>
              <w:spacing w:before="60" w:after="60" w:line="240" w:lineRule="auto"/>
            </w:pPr>
            <w:r w:rsidRPr="00F34360">
              <w:rPr>
                <w:color w:val="000000"/>
              </w:rPr>
              <w:t>WOAH</w:t>
            </w:r>
          </w:p>
        </w:tc>
        <w:tc>
          <w:tcPr>
            <w:tcW w:w="6521" w:type="dxa"/>
            <w:vAlign w:val="bottom"/>
          </w:tcPr>
          <w:p w14:paraId="1BD0D07B" w14:textId="2846FF21" w:rsidR="00F34360" w:rsidRPr="00F34360" w:rsidRDefault="00F34360" w:rsidP="002F3722">
            <w:pPr>
              <w:spacing w:before="60" w:after="60" w:line="240" w:lineRule="auto"/>
            </w:pPr>
            <w:r w:rsidRPr="00F34360">
              <w:rPr>
                <w:color w:val="000000"/>
              </w:rPr>
              <w:t xml:space="preserve">World Organisation for Animal Health </w:t>
            </w:r>
          </w:p>
        </w:tc>
      </w:tr>
      <w:tr w:rsidR="00F34360" w:rsidRPr="00F34360" w14:paraId="33A8DBCB" w14:textId="77777777" w:rsidTr="00F34360">
        <w:trPr>
          <w:trHeight w:val="283"/>
        </w:trPr>
        <w:tc>
          <w:tcPr>
            <w:tcW w:w="1696" w:type="dxa"/>
            <w:vAlign w:val="bottom"/>
          </w:tcPr>
          <w:p w14:paraId="163794B1" w14:textId="46B6622A" w:rsidR="00F34360" w:rsidRPr="00F34360" w:rsidRDefault="00F34360" w:rsidP="002F3722">
            <w:pPr>
              <w:spacing w:before="60" w:after="60" w:line="240" w:lineRule="auto"/>
            </w:pPr>
            <w:r w:rsidRPr="00F34360">
              <w:rPr>
                <w:color w:val="000000"/>
              </w:rPr>
              <w:t>WRO</w:t>
            </w:r>
          </w:p>
        </w:tc>
        <w:tc>
          <w:tcPr>
            <w:tcW w:w="6521" w:type="dxa"/>
            <w:vAlign w:val="bottom"/>
          </w:tcPr>
          <w:p w14:paraId="6D5010FE" w14:textId="5DE0C28B" w:rsidR="00F34360" w:rsidRPr="00F34360" w:rsidRDefault="00F34360" w:rsidP="002F3722">
            <w:pPr>
              <w:spacing w:before="60" w:after="60" w:line="240" w:lineRule="auto"/>
            </w:pPr>
            <w:r w:rsidRPr="00F34360">
              <w:rPr>
                <w:color w:val="000000"/>
              </w:rPr>
              <w:t xml:space="preserve">World Renderers Organization </w:t>
            </w:r>
          </w:p>
        </w:tc>
      </w:tr>
    </w:tbl>
    <w:p w14:paraId="3CC2E822" w14:textId="0D985C06" w:rsidR="0075640B" w:rsidRDefault="0075640B" w:rsidP="008539CE"/>
    <w:p w14:paraId="290F19F6" w14:textId="77777777" w:rsidR="0075640B" w:rsidRDefault="0075640B">
      <w:pPr>
        <w:spacing w:before="0" w:after="0" w:line="240" w:lineRule="auto"/>
        <w:jc w:val="left"/>
      </w:pPr>
      <w:r>
        <w:br w:type="page"/>
      </w:r>
    </w:p>
    <w:p w14:paraId="1594EEC3" w14:textId="77777777" w:rsidR="009A094A" w:rsidRDefault="009A094A" w:rsidP="008539CE"/>
    <w:p w14:paraId="1C502570" w14:textId="77777777" w:rsidR="009A094A" w:rsidRDefault="009A094A" w:rsidP="008539CE">
      <w:pPr>
        <w:sectPr w:rsidR="009A094A" w:rsidSect="008B08F3">
          <w:headerReference w:type="even" r:id="rId18"/>
          <w:headerReference w:type="default" r:id="rId19"/>
          <w:footerReference w:type="even" r:id="rId20"/>
          <w:headerReference w:type="first" r:id="rId21"/>
          <w:footerReference w:type="first" r:id="rId22"/>
          <w:pgSz w:w="11906" w:h="16838"/>
          <w:pgMar w:top="1440" w:right="1797" w:bottom="1440" w:left="1797" w:header="720" w:footer="720" w:gutter="0"/>
          <w:cols w:space="720"/>
        </w:sectPr>
      </w:pPr>
    </w:p>
    <w:p w14:paraId="21DF8C54" w14:textId="680BB4C5" w:rsidR="00070BA9" w:rsidRDefault="71AE851B" w:rsidP="000024FA">
      <w:pPr>
        <w:pStyle w:val="Heading1"/>
      </w:pPr>
      <w:bookmarkStart w:id="12" w:name="_Toc184311738"/>
      <w:bookmarkStart w:id="13" w:name="_Toc206083777"/>
      <w:r>
        <w:lastRenderedPageBreak/>
        <w:t>Executive Summary</w:t>
      </w:r>
      <w:bookmarkEnd w:id="12"/>
      <w:bookmarkEnd w:id="13"/>
    </w:p>
    <w:p w14:paraId="352C6E93" w14:textId="626A1832" w:rsidR="009B5FAB" w:rsidRDefault="009B5FAB" w:rsidP="009B5FAB">
      <w:pPr>
        <w:spacing w:before="200"/>
      </w:pPr>
      <w:r w:rsidRPr="00903E50">
        <w:t xml:space="preserve">Engagement in international standard setting (ISS) </w:t>
      </w:r>
      <w:r w:rsidR="002E1B64">
        <w:t xml:space="preserve">by the Department of Agriculture, Fisheries and Forestry (the department) </w:t>
      </w:r>
      <w:r w:rsidRPr="00903E50">
        <w:t xml:space="preserve">is a critical component of Australia’s biosecurity system. It </w:t>
      </w:r>
      <w:r w:rsidR="0015518D">
        <w:t xml:space="preserve">directly </w:t>
      </w:r>
      <w:r w:rsidRPr="00903E50">
        <w:t xml:space="preserve">supports agricultural productivity </w:t>
      </w:r>
      <w:r w:rsidR="00B01162" w:rsidRPr="00903E50">
        <w:t>providing safe trade and market access opportunities for Australian producers</w:t>
      </w:r>
      <w:r w:rsidR="00756D78">
        <w:t xml:space="preserve"> </w:t>
      </w:r>
      <w:r w:rsidR="00D81136">
        <w:t xml:space="preserve">while </w:t>
      </w:r>
      <w:r w:rsidR="00822CE6">
        <w:t xml:space="preserve">promoting science-based </w:t>
      </w:r>
      <w:r w:rsidRPr="00903E50">
        <w:t xml:space="preserve">biosecurity risk </w:t>
      </w:r>
      <w:r w:rsidR="00822CE6">
        <w:t>management</w:t>
      </w:r>
      <w:r w:rsidR="00D81136">
        <w:t>.</w:t>
      </w:r>
      <w:r w:rsidRPr="00903E50">
        <w:t xml:space="preserve"> </w:t>
      </w:r>
    </w:p>
    <w:p w14:paraId="52C25AD4" w14:textId="4A84D387" w:rsidR="00C3327C" w:rsidRDefault="00A21889" w:rsidP="00F24BDA">
      <w:pPr>
        <w:spacing w:before="200"/>
      </w:pPr>
      <w:r>
        <w:t>Australia</w:t>
      </w:r>
      <w:r w:rsidR="007A2782">
        <w:t xml:space="preserve"> </w:t>
      </w:r>
      <w:r w:rsidR="009F05B9">
        <w:t>currently spends</w:t>
      </w:r>
      <w:r w:rsidR="009C699A">
        <w:t xml:space="preserve"> on average</w:t>
      </w:r>
      <w:r w:rsidR="007A2782">
        <w:t xml:space="preserve"> around </w:t>
      </w:r>
      <w:r w:rsidR="00DB4327">
        <w:t>AUD</w:t>
      </w:r>
      <w:r w:rsidR="00073698">
        <w:t xml:space="preserve"> </w:t>
      </w:r>
      <w:r w:rsidR="00D50A27" w:rsidRPr="00BA2EE6">
        <w:t>4.1</w:t>
      </w:r>
      <w:r w:rsidR="00EE6806">
        <w:t xml:space="preserve"> </w:t>
      </w:r>
      <w:r w:rsidR="00DB4327">
        <w:t>m</w:t>
      </w:r>
      <w:r w:rsidR="00073698">
        <w:t>illion</w:t>
      </w:r>
      <w:r w:rsidR="009F05B9">
        <w:t xml:space="preserve"> </w:t>
      </w:r>
      <w:r w:rsidR="00F76E61">
        <w:t xml:space="preserve">each year </w:t>
      </w:r>
      <w:r w:rsidR="005F3C7D">
        <w:t xml:space="preserve">on </w:t>
      </w:r>
      <w:r w:rsidR="00002290">
        <w:t xml:space="preserve">engagement </w:t>
      </w:r>
      <w:r w:rsidR="009C699A">
        <w:t>with the World Organisation for Animal Health (WOAH)</w:t>
      </w:r>
      <w:r w:rsidR="005B2E5E">
        <w:t xml:space="preserve">, </w:t>
      </w:r>
      <w:r w:rsidR="003177C4">
        <w:t>of which</w:t>
      </w:r>
      <w:r w:rsidR="005B2E5E">
        <w:t xml:space="preserve"> AUD </w:t>
      </w:r>
      <w:r w:rsidR="00EE6806">
        <w:t>3.1</w:t>
      </w:r>
      <w:r w:rsidR="0032709D">
        <w:t xml:space="preserve"> million</w:t>
      </w:r>
      <w:r w:rsidR="005B2E5E">
        <w:t xml:space="preserve"> </w:t>
      </w:r>
      <w:r w:rsidR="00FF7A46">
        <w:t>is</w:t>
      </w:r>
      <w:r w:rsidR="005B2E5E">
        <w:t xml:space="preserve"> a voluntary contribution</w:t>
      </w:r>
      <w:r w:rsidR="005F3C7D">
        <w:t xml:space="preserve">. </w:t>
      </w:r>
      <w:r w:rsidR="00AE1239">
        <w:t>T</w:t>
      </w:r>
      <w:r w:rsidR="00AE1239" w:rsidRPr="00903E50">
        <w:t xml:space="preserve">he value of this engagement </w:t>
      </w:r>
      <w:r w:rsidR="00AE1239">
        <w:t>is not always obvious</w:t>
      </w:r>
      <w:r w:rsidR="00E1342A">
        <w:t>, p</w:t>
      </w:r>
      <w:r w:rsidR="00E1342A" w:rsidRPr="00903E50">
        <w:t xml:space="preserve">articularly in the </w:t>
      </w:r>
      <w:r w:rsidR="00AC6798">
        <w:t xml:space="preserve">area of </w:t>
      </w:r>
      <w:r w:rsidR="00E1342A" w:rsidRPr="00903E50">
        <w:t>biosecurity and disease prevention,</w:t>
      </w:r>
      <w:r w:rsidR="00E1342A">
        <w:t xml:space="preserve"> where</w:t>
      </w:r>
      <w:r w:rsidR="00E1342A" w:rsidRPr="00903E50">
        <w:t xml:space="preserve"> the effects of decisions made upstream may not be apparent to </w:t>
      </w:r>
      <w:r w:rsidR="00E1342A">
        <w:t xml:space="preserve">producers and </w:t>
      </w:r>
      <w:r w:rsidR="00E1342A" w:rsidRPr="00903E50">
        <w:t>stakeholders.</w:t>
      </w:r>
      <w:r w:rsidR="00097F35">
        <w:t xml:space="preserve"> </w:t>
      </w:r>
      <w:r w:rsidR="00DB4991">
        <w:t>CEBRA Project 2</w:t>
      </w:r>
      <w:r w:rsidR="003A65E5">
        <w:t xml:space="preserve">3B </w:t>
      </w:r>
      <w:r w:rsidR="006C2B11">
        <w:t>explored</w:t>
      </w:r>
      <w:r w:rsidR="0046012E">
        <w:t xml:space="preserve"> </w:t>
      </w:r>
      <w:r w:rsidR="00DF6544">
        <w:t xml:space="preserve">the </w:t>
      </w:r>
      <w:r w:rsidR="00762882">
        <w:t>value of the investment in ISS using recent engagement in</w:t>
      </w:r>
      <w:r w:rsidR="006E6E2D">
        <w:t xml:space="preserve"> WOAH’s bovine spongiform encephalopathy (BSE) standards</w:t>
      </w:r>
      <w:r w:rsidR="00762882">
        <w:t xml:space="preserve"> </w:t>
      </w:r>
      <w:r w:rsidR="00BF126A">
        <w:t>revision</w:t>
      </w:r>
      <w:r w:rsidR="00DB7018">
        <w:t xml:space="preserve">. </w:t>
      </w:r>
    </w:p>
    <w:p w14:paraId="2FA01DE7" w14:textId="1A75756F" w:rsidR="004E1798" w:rsidRPr="0042658C" w:rsidRDefault="00DB7018" w:rsidP="004E1798">
      <w:pPr>
        <w:rPr>
          <w:iCs/>
        </w:rPr>
      </w:pPr>
      <w:r>
        <w:t xml:space="preserve">During the </w:t>
      </w:r>
      <w:r>
        <w:rPr>
          <w:iCs/>
        </w:rPr>
        <w:t xml:space="preserve">2018-2023 </w:t>
      </w:r>
      <w:r w:rsidR="00C3327C">
        <w:rPr>
          <w:iCs/>
        </w:rPr>
        <w:t xml:space="preserve">BSE standard </w:t>
      </w:r>
      <w:r>
        <w:t xml:space="preserve">revision </w:t>
      </w:r>
      <w:r w:rsidR="00C3327C">
        <w:t xml:space="preserve">process </w:t>
      </w:r>
      <w:r w:rsidR="00D9463F">
        <w:rPr>
          <w:iCs/>
        </w:rPr>
        <w:t xml:space="preserve">there was real potential for </w:t>
      </w:r>
      <w:r w:rsidR="007D73D5">
        <w:rPr>
          <w:iCs/>
        </w:rPr>
        <w:t xml:space="preserve">the </w:t>
      </w:r>
      <w:r w:rsidR="00D9463F">
        <w:rPr>
          <w:iCs/>
        </w:rPr>
        <w:t xml:space="preserve">loss of </w:t>
      </w:r>
      <w:r w:rsidR="00837472">
        <w:rPr>
          <w:iCs/>
        </w:rPr>
        <w:t xml:space="preserve">Australia’s </w:t>
      </w:r>
      <w:r w:rsidR="000D068C">
        <w:rPr>
          <w:iCs/>
        </w:rPr>
        <w:t xml:space="preserve">official </w:t>
      </w:r>
      <w:r w:rsidR="00E1342A">
        <w:rPr>
          <w:iCs/>
        </w:rPr>
        <w:t xml:space="preserve">risk </w:t>
      </w:r>
      <w:r w:rsidR="00D9463F">
        <w:rPr>
          <w:iCs/>
        </w:rPr>
        <w:t>status</w:t>
      </w:r>
      <w:r w:rsidR="007D73D5">
        <w:rPr>
          <w:iCs/>
        </w:rPr>
        <w:t xml:space="preserve">, considered to be </w:t>
      </w:r>
      <w:r w:rsidR="00E1342A">
        <w:rPr>
          <w:iCs/>
        </w:rPr>
        <w:t>‘negligible’</w:t>
      </w:r>
      <w:r w:rsidR="00E112AA">
        <w:rPr>
          <w:iCs/>
        </w:rPr>
        <w:t xml:space="preserve">, </w:t>
      </w:r>
      <w:r w:rsidR="00F0421E">
        <w:rPr>
          <w:iCs/>
        </w:rPr>
        <w:t xml:space="preserve">putting </w:t>
      </w:r>
      <w:r w:rsidR="0042658C">
        <w:rPr>
          <w:iCs/>
        </w:rPr>
        <w:t xml:space="preserve">the value of beef and veal exports, bovine rendered meals and associated products – </w:t>
      </w:r>
      <w:r w:rsidR="00F0421E">
        <w:rPr>
          <w:iCs/>
        </w:rPr>
        <w:t>more than AUD 1</w:t>
      </w:r>
      <w:r w:rsidR="0042658C">
        <w:rPr>
          <w:iCs/>
        </w:rPr>
        <w:t>5</w:t>
      </w:r>
      <w:r w:rsidR="00F0421E">
        <w:rPr>
          <w:iCs/>
        </w:rPr>
        <w:t xml:space="preserve"> billion of export income per year</w:t>
      </w:r>
      <w:r w:rsidR="0042658C">
        <w:rPr>
          <w:iCs/>
        </w:rPr>
        <w:t xml:space="preserve"> –</w:t>
      </w:r>
      <w:r w:rsidR="00F0421E">
        <w:rPr>
          <w:iCs/>
        </w:rPr>
        <w:t xml:space="preserve"> at risk</w:t>
      </w:r>
      <w:r w:rsidR="00067B60">
        <w:rPr>
          <w:iCs/>
        </w:rPr>
        <w:t xml:space="preserve">. </w:t>
      </w:r>
      <w:r w:rsidR="009728CE">
        <w:t>The Australian government’s funding of its engagement in WOAH enabled its scientific positions and those of other countries to be robustly represented in the development of WOAH’s BSE standards</w:t>
      </w:r>
      <w:r w:rsidR="009A415C">
        <w:t xml:space="preserve">. </w:t>
      </w:r>
      <w:r w:rsidR="00FC5437">
        <w:t xml:space="preserve">Under these revised standards, </w:t>
      </w:r>
      <w:r w:rsidR="004E1798">
        <w:rPr>
          <w:rFonts w:eastAsia="Calibri"/>
        </w:rPr>
        <w:t xml:space="preserve">Australia </w:t>
      </w:r>
      <w:r w:rsidR="00FC5437">
        <w:rPr>
          <w:rFonts w:eastAsia="Calibri"/>
        </w:rPr>
        <w:t xml:space="preserve">could </w:t>
      </w:r>
      <w:r w:rsidR="004E1798">
        <w:rPr>
          <w:rFonts w:eastAsia="Calibri"/>
        </w:rPr>
        <w:t xml:space="preserve">ultimately maintain its official </w:t>
      </w:r>
      <w:r w:rsidR="004E1798" w:rsidRPr="00CE7581">
        <w:rPr>
          <w:rFonts w:eastAsia="Calibri"/>
        </w:rPr>
        <w:t>risk status</w:t>
      </w:r>
      <w:r w:rsidR="004E1798">
        <w:rPr>
          <w:rFonts w:eastAsia="Calibri"/>
        </w:rPr>
        <w:t>.</w:t>
      </w:r>
    </w:p>
    <w:p w14:paraId="0F4B200E" w14:textId="1036313E" w:rsidR="00F070AD" w:rsidRDefault="0065427D" w:rsidP="008E3AA0">
      <w:r>
        <w:t xml:space="preserve">CEBRA Project 23B </w:t>
      </w:r>
      <w:r w:rsidR="00F070AD">
        <w:t>employed a mixed-methods approach</w:t>
      </w:r>
      <w:r w:rsidR="007E52EC">
        <w:t xml:space="preserve"> to understand the value of ISS engagement</w:t>
      </w:r>
      <w:r w:rsidR="008E3AA0">
        <w:t xml:space="preserve">: a </w:t>
      </w:r>
      <w:r w:rsidR="00F070AD">
        <w:t>qualitative analysis of interviews with relevant stakeholders involved in the BSE standard revision process</w:t>
      </w:r>
      <w:r w:rsidR="008E3AA0">
        <w:t xml:space="preserve">; complemented by </w:t>
      </w:r>
      <w:r w:rsidR="006946B7">
        <w:t xml:space="preserve">a </w:t>
      </w:r>
      <w:r w:rsidR="001E43BA">
        <w:t>simple</w:t>
      </w:r>
      <w:r w:rsidR="002D5EF4">
        <w:t xml:space="preserve"> </w:t>
      </w:r>
      <w:r w:rsidR="00ED5F74">
        <w:t>quantitative</w:t>
      </w:r>
      <w:r w:rsidR="008E3AA0">
        <w:t xml:space="preserve"> analysis of the potential financial impacts on the Australian livestock and rendering industries from various </w:t>
      </w:r>
      <w:r w:rsidR="008E3AA0" w:rsidRPr="006B25B0">
        <w:t xml:space="preserve">hypothetical (but at the time possible) </w:t>
      </w:r>
      <w:r w:rsidR="005441F6">
        <w:t xml:space="preserve">negative </w:t>
      </w:r>
      <w:r w:rsidR="008E3AA0" w:rsidRPr="006B25B0">
        <w:t>scenario</w:t>
      </w:r>
      <w:r w:rsidR="008E3AA0" w:rsidRPr="003D408A">
        <w:t>s</w:t>
      </w:r>
      <w:r w:rsidR="008E3AA0" w:rsidRPr="00064BA7">
        <w:t>.</w:t>
      </w:r>
    </w:p>
    <w:p w14:paraId="1DDA0F2A" w14:textId="0FD48FB9" w:rsidR="00660DE1" w:rsidRDefault="00660DE1" w:rsidP="00545B20">
      <w:pPr>
        <w:pStyle w:val="Heading2"/>
      </w:pPr>
      <w:bookmarkStart w:id="14" w:name="_Toc184311739"/>
      <w:bookmarkStart w:id="15" w:name="_Toc206083778"/>
      <w:r>
        <w:t>Key findings</w:t>
      </w:r>
      <w:bookmarkStart w:id="16" w:name="_Toc24363963"/>
      <w:bookmarkEnd w:id="14"/>
      <w:r w:rsidR="00175C74">
        <w:t xml:space="preserve"> </w:t>
      </w:r>
      <w:bookmarkEnd w:id="15"/>
    </w:p>
    <w:p w14:paraId="65A245B1" w14:textId="2726D18F" w:rsidR="00D02F02" w:rsidRPr="00BA51F5" w:rsidRDefault="00BA51F5" w:rsidP="00D02F02">
      <w:pPr>
        <w:pStyle w:val="ListParagraph"/>
        <w:numPr>
          <w:ilvl w:val="0"/>
          <w:numId w:val="30"/>
        </w:numPr>
        <w:ind w:left="426" w:hanging="426"/>
        <w:rPr>
          <w:b/>
          <w:bCs/>
        </w:rPr>
      </w:pPr>
      <w:r w:rsidRPr="00BA51F5">
        <w:rPr>
          <w:b/>
          <w:bCs/>
        </w:rPr>
        <w:t xml:space="preserve">WOAH’s democratic processes </w:t>
      </w:r>
      <w:r w:rsidR="0042658C">
        <w:rPr>
          <w:b/>
          <w:bCs/>
        </w:rPr>
        <w:t>are</w:t>
      </w:r>
      <w:r w:rsidRPr="00BA51F5">
        <w:rPr>
          <w:b/>
          <w:bCs/>
        </w:rPr>
        <w:t xml:space="preserve"> effective in development </w:t>
      </w:r>
      <w:r w:rsidR="00822CE6">
        <w:rPr>
          <w:b/>
          <w:bCs/>
        </w:rPr>
        <w:t xml:space="preserve">of </w:t>
      </w:r>
      <w:r w:rsidRPr="00BA51F5">
        <w:rPr>
          <w:b/>
          <w:bCs/>
        </w:rPr>
        <w:t>science-based standards to reduce sanitary risks while minimising undue barrier</w:t>
      </w:r>
      <w:r w:rsidR="0042658C">
        <w:rPr>
          <w:b/>
          <w:bCs/>
        </w:rPr>
        <w:t>s</w:t>
      </w:r>
      <w:r w:rsidRPr="00BA51F5">
        <w:rPr>
          <w:b/>
          <w:bCs/>
        </w:rPr>
        <w:t xml:space="preserve"> to trade.</w:t>
      </w:r>
    </w:p>
    <w:p w14:paraId="4AB12AE6" w14:textId="2242AE50" w:rsidR="00D02F02" w:rsidRPr="00D02F02" w:rsidRDefault="00BA51F5" w:rsidP="00D02F02">
      <w:r>
        <w:t xml:space="preserve">WOAH’s </w:t>
      </w:r>
      <w:r w:rsidR="002C1B7F">
        <w:t>various Member-led mechanisms</w:t>
      </w:r>
      <w:r w:rsidR="008C2F89">
        <w:t>,</w:t>
      </w:r>
      <w:r w:rsidR="002C1B7F">
        <w:t xml:space="preserve"> including repeated consultation on standards</w:t>
      </w:r>
      <w:r w:rsidR="007946A1">
        <w:t xml:space="preserve"> prior to being presented for adoption</w:t>
      </w:r>
      <w:r w:rsidR="002C1B7F">
        <w:t xml:space="preserve">, </w:t>
      </w:r>
      <w:r w:rsidR="008C0698">
        <w:t xml:space="preserve">regional fora, and </w:t>
      </w:r>
      <w:r w:rsidR="00395947">
        <w:t>the General Session</w:t>
      </w:r>
      <w:r w:rsidR="008C2F89">
        <w:t>, allow</w:t>
      </w:r>
      <w:r w:rsidR="001654CA">
        <w:t>s all Members to represent their perspectives</w:t>
      </w:r>
      <w:r w:rsidR="007946A1">
        <w:t xml:space="preserve"> based on available science and knowledge of diverse production systems</w:t>
      </w:r>
      <w:r w:rsidR="00395947">
        <w:t xml:space="preserve">. </w:t>
      </w:r>
      <w:r w:rsidR="00FA4160">
        <w:t xml:space="preserve">Despite </w:t>
      </w:r>
      <w:r w:rsidR="00D300D6">
        <w:t>divergent</w:t>
      </w:r>
      <w:r w:rsidR="00FA4160">
        <w:t xml:space="preserve"> interpretations of the scien</w:t>
      </w:r>
      <w:r w:rsidR="00D300D6">
        <w:t>tific evidence</w:t>
      </w:r>
      <w:r w:rsidR="00FA4160">
        <w:t xml:space="preserve">, </w:t>
      </w:r>
      <w:r w:rsidR="00D02F02" w:rsidRPr="00D02F02">
        <w:t xml:space="preserve">WOAH was receptive to feedback from </w:t>
      </w:r>
      <w:r w:rsidR="001424DA">
        <w:t xml:space="preserve">Members </w:t>
      </w:r>
      <w:r w:rsidR="00A92063">
        <w:t xml:space="preserve">across its various </w:t>
      </w:r>
      <w:r w:rsidR="00D02F02" w:rsidRPr="00D02F02">
        <w:t>decision</w:t>
      </w:r>
      <w:r w:rsidR="00A92063">
        <w:t>-</w:t>
      </w:r>
      <w:r w:rsidR="00D02F02" w:rsidRPr="00D02F02">
        <w:t xml:space="preserve">making </w:t>
      </w:r>
      <w:r w:rsidR="00A92063">
        <w:t xml:space="preserve">points </w:t>
      </w:r>
      <w:r w:rsidR="00344579">
        <w:t xml:space="preserve">on the risks of </w:t>
      </w:r>
      <w:r w:rsidR="00D02F02" w:rsidRPr="00D02F02">
        <w:t>atypical BSE. Its approach reflected commitment to the stated principles of transparency, international solidarity</w:t>
      </w:r>
      <w:r w:rsidR="008C2F89">
        <w:t>,</w:t>
      </w:r>
      <w:r w:rsidR="00D02F02" w:rsidRPr="00D02F02">
        <w:t xml:space="preserve"> and consensus</w:t>
      </w:r>
      <w:r w:rsidR="007946A1">
        <w:t>.</w:t>
      </w:r>
    </w:p>
    <w:p w14:paraId="66440B26" w14:textId="77777777" w:rsidR="00447F2E" w:rsidRPr="00447F2E" w:rsidRDefault="00447F2E" w:rsidP="00447F2E">
      <w:pPr>
        <w:pStyle w:val="ListParagraph"/>
        <w:ind w:left="426"/>
      </w:pPr>
    </w:p>
    <w:p w14:paraId="662E5074" w14:textId="17421133" w:rsidR="00ED5F74" w:rsidRPr="00151C30" w:rsidRDefault="00032AA4" w:rsidP="00151C30">
      <w:pPr>
        <w:pStyle w:val="ListParagraph"/>
        <w:numPr>
          <w:ilvl w:val="0"/>
          <w:numId w:val="30"/>
        </w:numPr>
        <w:ind w:left="426" w:hanging="426"/>
        <w:rPr>
          <w:b/>
          <w:bCs/>
        </w:rPr>
      </w:pPr>
      <w:r w:rsidRPr="00151C30">
        <w:rPr>
          <w:b/>
          <w:bCs/>
        </w:rPr>
        <w:t xml:space="preserve">Australia’s </w:t>
      </w:r>
      <w:r w:rsidR="0077179B" w:rsidRPr="00B2421F">
        <w:rPr>
          <w:b/>
          <w:bCs/>
        </w:rPr>
        <w:t>engagement</w:t>
      </w:r>
      <w:r w:rsidR="0077179B" w:rsidRPr="00151C30">
        <w:rPr>
          <w:b/>
          <w:bCs/>
        </w:rPr>
        <w:t xml:space="preserve"> </w:t>
      </w:r>
      <w:r w:rsidR="00C141CF">
        <w:rPr>
          <w:b/>
          <w:bCs/>
        </w:rPr>
        <w:t xml:space="preserve">on </w:t>
      </w:r>
      <w:r w:rsidR="00151C30" w:rsidRPr="00151C30">
        <w:rPr>
          <w:b/>
          <w:bCs/>
        </w:rPr>
        <w:t>BSE standard revision process was effective</w:t>
      </w:r>
      <w:r w:rsidR="00855DBD">
        <w:rPr>
          <w:b/>
          <w:bCs/>
        </w:rPr>
        <w:t>.</w:t>
      </w:r>
    </w:p>
    <w:p w14:paraId="590A771D" w14:textId="1B925CEC" w:rsidR="00CD274B" w:rsidRDefault="00E41B8B" w:rsidP="00CD274B">
      <w:r w:rsidRPr="00151C30">
        <w:t>The</w:t>
      </w:r>
      <w:r w:rsidR="00CD274B" w:rsidRPr="00151C30">
        <w:t xml:space="preserve"> Australian </w:t>
      </w:r>
      <w:r w:rsidR="00791054">
        <w:t>G</w:t>
      </w:r>
      <w:r w:rsidR="00CD274B" w:rsidRPr="00151C30">
        <w:t xml:space="preserve">overnment’s funding of </w:t>
      </w:r>
      <w:r w:rsidR="00256CB5">
        <w:t>its engagement with WOAH</w:t>
      </w:r>
      <w:r w:rsidR="00CD274B" w:rsidRPr="00151C30">
        <w:t xml:space="preserve"> enabled it to deliver </w:t>
      </w:r>
      <w:r w:rsidR="002051F0">
        <w:t xml:space="preserve">science-based positions, </w:t>
      </w:r>
      <w:r w:rsidR="00F0012A">
        <w:t xml:space="preserve">international partnerships, and </w:t>
      </w:r>
      <w:r w:rsidR="00CD274B" w:rsidRPr="00151C30">
        <w:t xml:space="preserve">research and industry </w:t>
      </w:r>
      <w:r w:rsidR="00CD274B" w:rsidRPr="00151C30">
        <w:lastRenderedPageBreak/>
        <w:t xml:space="preserve">collaboration necessary </w:t>
      </w:r>
      <w:r w:rsidR="00887C30">
        <w:t xml:space="preserve">to </w:t>
      </w:r>
      <w:r w:rsidR="00AD24FD">
        <w:t xml:space="preserve">help </w:t>
      </w:r>
      <w:r w:rsidR="00CD274B" w:rsidRPr="00151C30">
        <w:t xml:space="preserve">prevent a </w:t>
      </w:r>
      <w:r w:rsidR="00E70C16" w:rsidRPr="00151C30">
        <w:t>revision</w:t>
      </w:r>
      <w:r w:rsidR="00CD274B" w:rsidRPr="00151C30">
        <w:t xml:space="preserve"> to WOAH’s BSE standards that would have been highly unfavourable to Australia’s agriculture trade and production </w:t>
      </w:r>
      <w:r w:rsidR="00D95A3E" w:rsidRPr="00151C30">
        <w:t>practices</w:t>
      </w:r>
      <w:r w:rsidR="00CD274B" w:rsidRPr="00151C30">
        <w:t xml:space="preserve">. </w:t>
      </w:r>
    </w:p>
    <w:p w14:paraId="66D1EADE" w14:textId="3ABD6FB9" w:rsidR="00151C30" w:rsidRPr="00151C30" w:rsidRDefault="00151C30" w:rsidP="007C1AEB">
      <w:pPr>
        <w:pStyle w:val="ListParagraph"/>
        <w:numPr>
          <w:ilvl w:val="0"/>
          <w:numId w:val="30"/>
        </w:numPr>
        <w:tabs>
          <w:tab w:val="left" w:pos="426"/>
        </w:tabs>
        <w:ind w:left="0" w:firstLine="0"/>
        <w:rPr>
          <w:b/>
          <w:bCs/>
        </w:rPr>
      </w:pPr>
      <w:r>
        <w:rPr>
          <w:b/>
          <w:bCs/>
        </w:rPr>
        <w:t xml:space="preserve">The return on investment in </w:t>
      </w:r>
      <w:r w:rsidR="001C5B8E">
        <w:rPr>
          <w:b/>
          <w:bCs/>
        </w:rPr>
        <w:t xml:space="preserve">engagement </w:t>
      </w:r>
      <w:r w:rsidR="00247F22">
        <w:rPr>
          <w:b/>
          <w:bCs/>
        </w:rPr>
        <w:t xml:space="preserve">for BSE </w:t>
      </w:r>
      <w:r w:rsidR="002E4B21">
        <w:rPr>
          <w:b/>
          <w:bCs/>
        </w:rPr>
        <w:t xml:space="preserve">standard setting </w:t>
      </w:r>
      <w:r>
        <w:rPr>
          <w:b/>
          <w:bCs/>
        </w:rPr>
        <w:t xml:space="preserve">is </w:t>
      </w:r>
      <w:r w:rsidR="00D86CC5">
        <w:rPr>
          <w:b/>
          <w:bCs/>
        </w:rPr>
        <w:t>significant</w:t>
      </w:r>
      <w:r w:rsidR="00931F4C">
        <w:rPr>
          <w:b/>
          <w:bCs/>
        </w:rPr>
        <w:t xml:space="preserve"> and represents good value for money</w:t>
      </w:r>
      <w:r w:rsidR="00855DBD">
        <w:rPr>
          <w:b/>
          <w:bCs/>
        </w:rPr>
        <w:t>.</w:t>
      </w:r>
    </w:p>
    <w:p w14:paraId="67A173F2" w14:textId="626F1156" w:rsidR="001C5B8E" w:rsidRDefault="00730290" w:rsidP="002E4B21">
      <w:r>
        <w:t>Between 2019 and 2024</w:t>
      </w:r>
      <w:r w:rsidR="00D06002">
        <w:t xml:space="preserve"> Australia</w:t>
      </w:r>
      <w:r w:rsidR="001C5B8E">
        <w:t xml:space="preserve"> invest</w:t>
      </w:r>
      <w:r>
        <w:t>ed</w:t>
      </w:r>
      <w:r w:rsidR="001C5B8E">
        <w:t xml:space="preserve"> around $</w:t>
      </w:r>
      <w:r w:rsidR="004C22E2">
        <w:t>4.1</w:t>
      </w:r>
      <w:r w:rsidR="001C5B8E">
        <w:t xml:space="preserve"> million dollars annually on engagement with WOAH</w:t>
      </w:r>
      <w:r w:rsidR="005F50FC">
        <w:t xml:space="preserve">, including for </w:t>
      </w:r>
      <w:r w:rsidR="00E16C66">
        <w:t>BSE</w:t>
      </w:r>
      <w:r w:rsidR="001C5B8E">
        <w:t>. In the case of BSE engagement, the avoided negative impacts are orders of magnitude higher than the cost of engagement—in the billions of dollars—given the significance of the Australian beef, rendering and feed manufacturing sectors. The investment in engagement for BSE therefore represents excellent value for the taxpayers who ultimately fund the engagement.</w:t>
      </w:r>
    </w:p>
    <w:p w14:paraId="642E205B" w14:textId="59F90774" w:rsidR="00C321E6" w:rsidRPr="00C321E6" w:rsidRDefault="00C321E6" w:rsidP="00B03950">
      <w:pPr>
        <w:pStyle w:val="ListParagraph"/>
        <w:numPr>
          <w:ilvl w:val="0"/>
          <w:numId w:val="30"/>
        </w:numPr>
        <w:spacing w:before="240"/>
        <w:ind w:left="425" w:hanging="425"/>
        <w:contextualSpacing w:val="0"/>
        <w:rPr>
          <w:b/>
          <w:bCs/>
        </w:rPr>
      </w:pPr>
      <w:r w:rsidRPr="00C321E6">
        <w:rPr>
          <w:b/>
          <w:bCs/>
        </w:rPr>
        <w:t xml:space="preserve">In-person attendance at WOAH meetings is critical to </w:t>
      </w:r>
      <w:r w:rsidR="005E0CE4">
        <w:rPr>
          <w:b/>
          <w:bCs/>
        </w:rPr>
        <w:t xml:space="preserve">achieving </w:t>
      </w:r>
      <w:r w:rsidR="00D61393" w:rsidRPr="00B2421F">
        <w:rPr>
          <w:b/>
          <w:bCs/>
        </w:rPr>
        <w:t>outcomes</w:t>
      </w:r>
      <w:r w:rsidR="00855DBD">
        <w:rPr>
          <w:b/>
          <w:bCs/>
        </w:rPr>
        <w:t>.</w:t>
      </w:r>
    </w:p>
    <w:p w14:paraId="2FCD694C" w14:textId="71196449" w:rsidR="00C321E6" w:rsidRDefault="009D1E87" w:rsidP="00313801">
      <w:pPr>
        <w:pStyle w:val="ListParagraph"/>
        <w:ind w:left="0"/>
      </w:pPr>
      <w:r>
        <w:t xml:space="preserve">The annual </w:t>
      </w:r>
      <w:r w:rsidR="00B82B22" w:rsidRPr="007F4CD3">
        <w:t xml:space="preserve">WOAH </w:t>
      </w:r>
      <w:r w:rsidR="00B82B22">
        <w:t>G</w:t>
      </w:r>
      <w:r w:rsidR="00B82B22" w:rsidRPr="007F4CD3">
        <w:t xml:space="preserve">eneral </w:t>
      </w:r>
      <w:r w:rsidR="00B82B22">
        <w:t>S</w:t>
      </w:r>
      <w:r w:rsidR="00B82B22" w:rsidRPr="007F4CD3">
        <w:t>ession</w:t>
      </w:r>
      <w:r w:rsidR="00B82B22">
        <w:t xml:space="preserve"> </w:t>
      </w:r>
      <w:r>
        <w:t>is held in</w:t>
      </w:r>
      <w:r w:rsidR="00B82B22">
        <w:t xml:space="preserve"> Paris</w:t>
      </w:r>
      <w:r w:rsidR="006031C0">
        <w:t xml:space="preserve"> with up to 183</w:t>
      </w:r>
      <w:r>
        <w:t xml:space="preserve"> </w:t>
      </w:r>
      <w:r w:rsidR="006031C0">
        <w:t>M</w:t>
      </w:r>
      <w:r>
        <w:t>ember</w:t>
      </w:r>
      <w:r w:rsidR="00AD6C7E">
        <w:t>s</w:t>
      </w:r>
      <w:r>
        <w:t xml:space="preserve"> in attendance.</w:t>
      </w:r>
      <w:r w:rsidR="00256CB5">
        <w:t xml:space="preserve"> WOAH Delegates must attend to represent their respective nations; by speaking, lodging interventions, and voting.</w:t>
      </w:r>
      <w:r>
        <w:t xml:space="preserve"> </w:t>
      </w:r>
      <w:r w:rsidR="006F4F8A">
        <w:t xml:space="preserve">Significant </w:t>
      </w:r>
      <w:r w:rsidR="00342983">
        <w:t xml:space="preserve">advocacy for positions on international standards </w:t>
      </w:r>
      <w:r w:rsidR="00490E89">
        <w:t xml:space="preserve">happens </w:t>
      </w:r>
      <w:r w:rsidR="00F511EC">
        <w:t xml:space="preserve">in the margins of </w:t>
      </w:r>
      <w:r w:rsidR="006F4F8A">
        <w:t>the General S</w:t>
      </w:r>
      <w:r w:rsidR="00C141CF">
        <w:t>e</w:t>
      </w:r>
      <w:r w:rsidR="006F4F8A">
        <w:t>ssion</w:t>
      </w:r>
      <w:r w:rsidR="00C141CF">
        <w:t xml:space="preserve"> and </w:t>
      </w:r>
      <w:r w:rsidR="00F511EC">
        <w:t xml:space="preserve">at </w:t>
      </w:r>
      <w:r w:rsidR="00C141CF">
        <w:t xml:space="preserve">other important meetings held in the </w:t>
      </w:r>
      <w:r w:rsidR="00E82DA3">
        <w:t>preceding weeks</w:t>
      </w:r>
      <w:r w:rsidR="00C141CF">
        <w:t>.</w:t>
      </w:r>
    </w:p>
    <w:p w14:paraId="33A41C07" w14:textId="50D326F7" w:rsidR="00921133" w:rsidRPr="009A7AFB" w:rsidRDefault="0060384F" w:rsidP="00B03950">
      <w:pPr>
        <w:pStyle w:val="ListParagraph"/>
        <w:numPr>
          <w:ilvl w:val="0"/>
          <w:numId w:val="30"/>
        </w:numPr>
        <w:spacing w:before="240"/>
        <w:ind w:left="425" w:hanging="425"/>
        <w:contextualSpacing w:val="0"/>
        <w:rPr>
          <w:b/>
          <w:bCs/>
        </w:rPr>
      </w:pPr>
      <w:r w:rsidRPr="0060384F">
        <w:rPr>
          <w:b/>
          <w:bCs/>
        </w:rPr>
        <w:t>National coordination functions for multilateral engagement</w:t>
      </w:r>
      <w:r w:rsidR="00A92743">
        <w:rPr>
          <w:b/>
          <w:bCs/>
        </w:rPr>
        <w:t>,</w:t>
      </w:r>
      <w:r>
        <w:rPr>
          <w:b/>
          <w:bCs/>
        </w:rPr>
        <w:t xml:space="preserve"> </w:t>
      </w:r>
      <w:r w:rsidR="00BF3659" w:rsidRPr="00A42C35">
        <w:rPr>
          <w:b/>
          <w:bCs/>
        </w:rPr>
        <w:t xml:space="preserve">provided by </w:t>
      </w:r>
      <w:r w:rsidR="00A92743" w:rsidRPr="00A42C35">
        <w:rPr>
          <w:b/>
          <w:bCs/>
        </w:rPr>
        <w:t>the department</w:t>
      </w:r>
      <w:r w:rsidR="00A92743">
        <w:rPr>
          <w:b/>
          <w:bCs/>
        </w:rPr>
        <w:t>,</w:t>
      </w:r>
      <w:r w:rsidR="00BF3659">
        <w:rPr>
          <w:b/>
          <w:bCs/>
        </w:rPr>
        <w:t xml:space="preserve"> </w:t>
      </w:r>
      <w:r w:rsidR="0093750B" w:rsidRPr="009A7AFB">
        <w:rPr>
          <w:b/>
          <w:bCs/>
        </w:rPr>
        <w:t>is a critical asset for Australian agriculture</w:t>
      </w:r>
      <w:r w:rsidR="00004957">
        <w:rPr>
          <w:b/>
          <w:bCs/>
        </w:rPr>
        <w:t>.</w:t>
      </w:r>
    </w:p>
    <w:p w14:paraId="6F534054" w14:textId="55B3E922" w:rsidR="0037229C" w:rsidRPr="00A42C35" w:rsidRDefault="0037229C" w:rsidP="00B21F3D">
      <w:pPr>
        <w:pStyle w:val="ListParagraph"/>
        <w:ind w:left="0"/>
      </w:pPr>
      <w:r w:rsidRPr="00A42C35">
        <w:t>The department’s Office of the Chief Veterinary Officer (OCVO) is responsible for Australia’s strategy and engagement on WOAH matters. A</w:t>
      </w:r>
      <w:r w:rsidR="002F6F64">
        <w:t xml:space="preserve"> national</w:t>
      </w:r>
      <w:r w:rsidRPr="00A42C35">
        <w:t xml:space="preserve"> office with central responsibility allowed Australia to coordinate its input </w:t>
      </w:r>
      <w:r w:rsidR="00004957">
        <w:t xml:space="preserve">into </w:t>
      </w:r>
      <w:r w:rsidRPr="00A42C35">
        <w:t>the BSE standards revision and WOAH’s process of assessing Members’ BSE status.</w:t>
      </w:r>
    </w:p>
    <w:p w14:paraId="6D3DC2A7" w14:textId="4F8AAB92" w:rsidR="004C2985" w:rsidRPr="00B03950" w:rsidRDefault="002D03D0" w:rsidP="00B03950">
      <w:pPr>
        <w:pStyle w:val="ListParagraph"/>
        <w:numPr>
          <w:ilvl w:val="0"/>
          <w:numId w:val="30"/>
        </w:numPr>
        <w:spacing w:before="240"/>
        <w:ind w:left="425" w:hanging="425"/>
        <w:contextualSpacing w:val="0"/>
        <w:rPr>
          <w:b/>
          <w:bCs/>
        </w:rPr>
      </w:pPr>
      <w:r w:rsidRPr="002D03D0">
        <w:rPr>
          <w:b/>
          <w:bCs/>
        </w:rPr>
        <w:t>Public private partnerships are key to effective multilateral engagement</w:t>
      </w:r>
      <w:r w:rsidR="00004957">
        <w:rPr>
          <w:b/>
          <w:bCs/>
        </w:rPr>
        <w:t>.</w:t>
      </w:r>
    </w:p>
    <w:p w14:paraId="5656CCE1" w14:textId="4C1BCAA7" w:rsidR="00FB0211" w:rsidRDefault="004A12C4" w:rsidP="00FB0211">
      <w:r w:rsidRPr="004A12C4">
        <w:t>The Australian Government worked with industry across the BSE standards revision process and WOAH’s assessment of Australia’s risk status. This collaboration helped inform Australia’s positions and the Australian Government’s representation of Australian interests.</w:t>
      </w:r>
    </w:p>
    <w:p w14:paraId="0F903951" w14:textId="15E4D1B7" w:rsidR="00636B4C" w:rsidRPr="00B03950" w:rsidRDefault="00636B4C" w:rsidP="00B03950">
      <w:pPr>
        <w:pStyle w:val="ListParagraph"/>
        <w:numPr>
          <w:ilvl w:val="0"/>
          <w:numId w:val="30"/>
        </w:numPr>
        <w:spacing w:before="240"/>
        <w:ind w:left="425" w:hanging="425"/>
        <w:contextualSpacing w:val="0"/>
        <w:rPr>
          <w:b/>
          <w:bCs/>
        </w:rPr>
      </w:pPr>
      <w:r w:rsidRPr="00B03950">
        <w:rPr>
          <w:b/>
          <w:bCs/>
        </w:rPr>
        <w:t>Australia’s leadership within its region is important</w:t>
      </w:r>
      <w:r w:rsidR="00004957">
        <w:rPr>
          <w:b/>
          <w:bCs/>
        </w:rPr>
        <w:t>.</w:t>
      </w:r>
    </w:p>
    <w:p w14:paraId="19EF26F5" w14:textId="07140580" w:rsidR="00636B4C" w:rsidRDefault="00636B4C" w:rsidP="00B03950">
      <w:r>
        <w:t xml:space="preserve">Australia’s leadership within </w:t>
      </w:r>
      <w:r w:rsidR="00112D4F">
        <w:t xml:space="preserve">the WOAH </w:t>
      </w:r>
      <w:r>
        <w:t>Regional Commission</w:t>
      </w:r>
      <w:r w:rsidR="00112D4F">
        <w:t xml:space="preserve"> for Asia Pacific and </w:t>
      </w:r>
      <w:r w:rsidR="00096307">
        <w:t xml:space="preserve">across its 32 Members </w:t>
      </w:r>
      <w:r>
        <w:t xml:space="preserve">is crucial for </w:t>
      </w:r>
      <w:r w:rsidR="00D96FF5">
        <w:t xml:space="preserve">generating mutual benefits around </w:t>
      </w:r>
      <w:r>
        <w:t xml:space="preserve">ISS and </w:t>
      </w:r>
      <w:r w:rsidR="00D96FF5">
        <w:t xml:space="preserve">to </w:t>
      </w:r>
      <w:r w:rsidR="0004359E">
        <w:t xml:space="preserve">strengthen </w:t>
      </w:r>
      <w:r w:rsidR="00A93382">
        <w:t xml:space="preserve">the representation of </w:t>
      </w:r>
      <w:r w:rsidR="00E32ACB">
        <w:t>Australia’s</w:t>
      </w:r>
      <w:r w:rsidR="00A93382">
        <w:t xml:space="preserve"> interests </w:t>
      </w:r>
      <w:r w:rsidR="0004359E">
        <w:t>within WOAH</w:t>
      </w:r>
      <w:r w:rsidR="00D96FF5">
        <w:t>, particularly in the face of global trading blocs which vote in unison</w:t>
      </w:r>
      <w:r w:rsidR="0004359E">
        <w:t>.</w:t>
      </w:r>
    </w:p>
    <w:p w14:paraId="63900034" w14:textId="064E0C83" w:rsidR="00196D55" w:rsidRDefault="00196D55" w:rsidP="00196D55">
      <w:pPr>
        <w:pStyle w:val="ListParagraph"/>
        <w:numPr>
          <w:ilvl w:val="0"/>
          <w:numId w:val="30"/>
        </w:numPr>
        <w:ind w:left="426" w:hanging="426"/>
        <w:rPr>
          <w:b/>
          <w:bCs/>
        </w:rPr>
      </w:pPr>
      <w:r w:rsidRPr="00196D55">
        <w:rPr>
          <w:b/>
          <w:bCs/>
        </w:rPr>
        <w:t xml:space="preserve">Relationships with </w:t>
      </w:r>
      <w:r w:rsidR="00325836">
        <w:rPr>
          <w:b/>
          <w:bCs/>
        </w:rPr>
        <w:t>like-minded partners</w:t>
      </w:r>
      <w:r>
        <w:rPr>
          <w:b/>
          <w:bCs/>
        </w:rPr>
        <w:t xml:space="preserve"> are important</w:t>
      </w:r>
      <w:r w:rsidR="00004957">
        <w:rPr>
          <w:b/>
          <w:bCs/>
        </w:rPr>
        <w:t>.</w:t>
      </w:r>
    </w:p>
    <w:p w14:paraId="090B24B8" w14:textId="2623A57E" w:rsidR="00A51C86" w:rsidRPr="00B2421F" w:rsidRDefault="00B845AF" w:rsidP="00A51C86">
      <w:r>
        <w:t xml:space="preserve">The </w:t>
      </w:r>
      <w:r w:rsidR="00F10D54">
        <w:t>Animal Health Quadrilateral</w:t>
      </w:r>
      <w:r>
        <w:t xml:space="preserve"> (Quads)</w:t>
      </w:r>
      <w:r w:rsidR="00F10D54">
        <w:t xml:space="preserve"> Alliance</w:t>
      </w:r>
      <w:r>
        <w:t xml:space="preserve"> </w:t>
      </w:r>
      <w:r w:rsidR="00F10D54">
        <w:t>consist</w:t>
      </w:r>
      <w:r>
        <w:t>s</w:t>
      </w:r>
      <w:r w:rsidR="00F10D54">
        <w:t xml:space="preserve"> of </w:t>
      </w:r>
      <w:r>
        <w:t>Australia</w:t>
      </w:r>
      <w:r w:rsidR="00F10D54">
        <w:t xml:space="preserve">, Canada, New Zealand, the United Kingdom, and the United States </w:t>
      </w:r>
      <w:r w:rsidR="00152AEC">
        <w:t xml:space="preserve">of </w:t>
      </w:r>
      <w:r w:rsidR="00F10D54">
        <w:t xml:space="preserve">America. Coordination with groups of influential, like-minded countries allowed for </w:t>
      </w:r>
      <w:r>
        <w:t xml:space="preserve">the sharing of scientific expertise, </w:t>
      </w:r>
      <w:r w:rsidR="00F10D54">
        <w:t xml:space="preserve">joint statements against </w:t>
      </w:r>
      <w:r w:rsidR="00F10D54" w:rsidRPr="00B2421F">
        <w:t xml:space="preserve">the problematic standard setting and status </w:t>
      </w:r>
      <w:r w:rsidR="00F10D54" w:rsidRPr="00B2421F">
        <w:lastRenderedPageBreak/>
        <w:t>assessment process for BSE at the time</w:t>
      </w:r>
      <w:r w:rsidRPr="00B2421F">
        <w:t xml:space="preserve">, and </w:t>
      </w:r>
      <w:r w:rsidR="00D61393" w:rsidRPr="00B2421F">
        <w:t>collaboration with</w:t>
      </w:r>
      <w:r w:rsidRPr="00B2421F">
        <w:t xml:space="preserve"> other regions</w:t>
      </w:r>
      <w:r w:rsidR="00F10D54" w:rsidRPr="00B2421F">
        <w:t>.</w:t>
      </w:r>
      <w:r w:rsidR="00ED21EB" w:rsidRPr="00B2421F">
        <w:t xml:space="preserve"> </w:t>
      </w:r>
      <w:r w:rsidR="00C141CF" w:rsidRPr="00B2421F">
        <w:t>Australia and New Zealand</w:t>
      </w:r>
      <w:r w:rsidR="00F10D54" w:rsidRPr="00B2421F">
        <w:t xml:space="preserve">’s longstanding </w:t>
      </w:r>
      <w:r w:rsidR="00E822E6" w:rsidRPr="00B2421F">
        <w:t>and collaborati</w:t>
      </w:r>
      <w:r w:rsidR="00887C30" w:rsidRPr="00B2421F">
        <w:t>ve</w:t>
      </w:r>
      <w:r w:rsidR="00E822E6" w:rsidRPr="00B2421F">
        <w:t xml:space="preserve"> </w:t>
      </w:r>
      <w:r w:rsidR="00F10D54" w:rsidRPr="00B2421F">
        <w:t xml:space="preserve">relationship </w:t>
      </w:r>
      <w:r w:rsidR="00E822E6" w:rsidRPr="00B2421F">
        <w:t xml:space="preserve">saw </w:t>
      </w:r>
      <w:r w:rsidR="00C141CF" w:rsidRPr="00B2421F">
        <w:t xml:space="preserve">shared positions in relation to ISS. </w:t>
      </w:r>
      <w:r w:rsidR="00E822E6" w:rsidRPr="00B2421F">
        <w:t xml:space="preserve">As such, New Zealand </w:t>
      </w:r>
      <w:r w:rsidR="00BA5219" w:rsidRPr="00B2421F">
        <w:t xml:space="preserve">was able to share </w:t>
      </w:r>
      <w:r w:rsidR="00C141CF" w:rsidRPr="00B2421F">
        <w:t xml:space="preserve">timely information </w:t>
      </w:r>
      <w:r w:rsidR="00BA5219" w:rsidRPr="00B2421F">
        <w:t xml:space="preserve">with Australia </w:t>
      </w:r>
      <w:r w:rsidR="00C141CF" w:rsidRPr="00B2421F">
        <w:t>on the likely impacts of a change to BSE</w:t>
      </w:r>
      <w:r w:rsidR="00074D24" w:rsidRPr="00B2421F">
        <w:t xml:space="preserve"> </w:t>
      </w:r>
      <w:r w:rsidR="00CE3B63" w:rsidRPr="00B2421F">
        <w:t>standards</w:t>
      </w:r>
      <w:r w:rsidR="00C141CF" w:rsidRPr="00B2421F">
        <w:t>.</w:t>
      </w:r>
      <w:r w:rsidR="00F4730C" w:rsidRPr="00B2421F">
        <w:rPr>
          <w:rFonts w:ascii="Segoe UI" w:hAnsi="Segoe UI" w:cs="Segoe UI"/>
          <w:sz w:val="18"/>
          <w:szCs w:val="18"/>
        </w:rPr>
        <w:t xml:space="preserve"> </w:t>
      </w:r>
    </w:p>
    <w:p w14:paraId="108A5095" w14:textId="7B42A573" w:rsidR="00F3378C" w:rsidRPr="00B2421F" w:rsidRDefault="00F3378C" w:rsidP="00F3378C">
      <w:pPr>
        <w:pStyle w:val="ListParagraph"/>
        <w:numPr>
          <w:ilvl w:val="0"/>
          <w:numId w:val="30"/>
        </w:numPr>
        <w:ind w:left="426" w:hanging="426"/>
        <w:rPr>
          <w:b/>
          <w:bCs/>
        </w:rPr>
      </w:pPr>
      <w:r w:rsidRPr="00B2421F">
        <w:rPr>
          <w:b/>
          <w:bCs/>
        </w:rPr>
        <w:t>Australia’s influence in ISS is likely to be effective beyond BSE</w:t>
      </w:r>
      <w:r w:rsidR="00004957" w:rsidRPr="00B2421F">
        <w:rPr>
          <w:b/>
          <w:bCs/>
        </w:rPr>
        <w:t>.</w:t>
      </w:r>
    </w:p>
    <w:p w14:paraId="04809BEB" w14:textId="4E806C45" w:rsidR="00F3378C" w:rsidRPr="009B0D71" w:rsidRDefault="00F3378C" w:rsidP="009B0D71">
      <w:r w:rsidRPr="00B2421F">
        <w:t>The annual investment of approximately $</w:t>
      </w:r>
      <w:r w:rsidR="00417D20" w:rsidRPr="00B2421F">
        <w:t>4.1</w:t>
      </w:r>
      <w:r w:rsidR="00EE6806" w:rsidRPr="00B2421F">
        <w:t xml:space="preserve"> </w:t>
      </w:r>
      <w:r w:rsidRPr="00B2421F">
        <w:t xml:space="preserve">million represents the cost of engagement by Australia on </w:t>
      </w:r>
      <w:r w:rsidR="00AF00C5" w:rsidRPr="00B2421F">
        <w:t xml:space="preserve">ISS across a </w:t>
      </w:r>
      <w:r w:rsidRPr="00B2421F">
        <w:t>range of animal diseases of significance to the domestic economy and those of its neighbours.</w:t>
      </w:r>
      <w:r w:rsidR="00B845AF" w:rsidRPr="00B2421F">
        <w:t xml:space="preserve"> T</w:t>
      </w:r>
      <w:r w:rsidRPr="00B2421F">
        <w:t xml:space="preserve">his investment </w:t>
      </w:r>
      <w:r w:rsidR="00C341A1" w:rsidRPr="00B2421F">
        <w:t xml:space="preserve">supports Australia’s standing within WOAH by </w:t>
      </w:r>
      <w:r w:rsidR="00DC6C48" w:rsidRPr="00B2421F">
        <w:t xml:space="preserve">attending its forums and </w:t>
      </w:r>
      <w:r w:rsidR="00C341A1" w:rsidRPr="00B2421F">
        <w:t xml:space="preserve">embedding Australians in technical and governance groups, </w:t>
      </w:r>
      <w:r w:rsidR="00DC6C48" w:rsidRPr="00B2421F">
        <w:t xml:space="preserve">and </w:t>
      </w:r>
      <w:r w:rsidR="00C341A1" w:rsidRPr="00B2421F">
        <w:t>leadership positions</w:t>
      </w:r>
      <w:r w:rsidR="00C341A1" w:rsidRPr="00C341A1">
        <w:t xml:space="preserve">. This allows </w:t>
      </w:r>
      <w:r w:rsidR="00B455E5">
        <w:t>Australia</w:t>
      </w:r>
      <w:r w:rsidR="00C341A1" w:rsidRPr="00C341A1">
        <w:t xml:space="preserve"> to </w:t>
      </w:r>
      <w:r w:rsidR="00C53C84">
        <w:t>ensure</w:t>
      </w:r>
      <w:r w:rsidR="00D93D44">
        <w:t xml:space="preserve"> its </w:t>
      </w:r>
      <w:r w:rsidR="00F56DBB">
        <w:t xml:space="preserve">perspectives are represented </w:t>
      </w:r>
      <w:r w:rsidR="00C341A1" w:rsidRPr="00C341A1">
        <w:t xml:space="preserve">in steering scientific/technical discussions and </w:t>
      </w:r>
      <w:r w:rsidR="00BB6704">
        <w:t xml:space="preserve">that it </w:t>
      </w:r>
      <w:r w:rsidR="00FB0CFA" w:rsidRPr="00FB0CFA">
        <w:t>maintains expertise and understanding of WOAH processes enabling effective</w:t>
      </w:r>
      <w:r w:rsidR="00FB0CFA">
        <w:t xml:space="preserve"> contribution</w:t>
      </w:r>
      <w:r w:rsidR="00FB0CFA" w:rsidRPr="00FB0CFA">
        <w:t xml:space="preserve"> to ISS.</w:t>
      </w:r>
    </w:p>
    <w:p w14:paraId="0F1D4C1D" w14:textId="77777777" w:rsidR="00F04E6A" w:rsidRDefault="00F04E6A" w:rsidP="00545B20">
      <w:pPr>
        <w:pStyle w:val="Heading2"/>
      </w:pPr>
      <w:bookmarkStart w:id="17" w:name="_Toc184311740"/>
      <w:bookmarkStart w:id="18" w:name="_Toc206083779"/>
      <w:bookmarkEnd w:id="16"/>
      <w:r>
        <w:t>Recommendations</w:t>
      </w:r>
      <w:bookmarkStart w:id="19" w:name="_Hlk83915364"/>
      <w:bookmarkEnd w:id="17"/>
      <w:bookmarkEnd w:id="18"/>
      <w:r>
        <w:t xml:space="preserve"> </w:t>
      </w:r>
    </w:p>
    <w:bookmarkEnd w:id="19"/>
    <w:p w14:paraId="3442FE8A" w14:textId="2F1FD69B" w:rsidR="007E5524" w:rsidRPr="004E7E92" w:rsidRDefault="00705249" w:rsidP="007E5524">
      <w:r>
        <w:t xml:space="preserve">The value of </w:t>
      </w:r>
      <w:r w:rsidR="007946A1">
        <w:t xml:space="preserve">engagement in </w:t>
      </w:r>
      <w:r>
        <w:t xml:space="preserve">WOAH’s ISS </w:t>
      </w:r>
      <w:r w:rsidR="009D1EF9">
        <w:t>to Australia is not limited just to BSE</w:t>
      </w:r>
      <w:r w:rsidR="007E5524">
        <w:t xml:space="preserve">. </w:t>
      </w:r>
      <w:r w:rsidR="007E5524" w:rsidRPr="00887C30">
        <w:t>Additional to providing science-base</w:t>
      </w:r>
      <w:r w:rsidR="007E5524">
        <w:t>d</w:t>
      </w:r>
      <w:r w:rsidR="007E5524" w:rsidRPr="00887C30">
        <w:t xml:space="preserve"> comments with strong rationale</w:t>
      </w:r>
      <w:r w:rsidR="009D1EF9">
        <w:t>s</w:t>
      </w:r>
      <w:r w:rsidR="007E5524" w:rsidRPr="00887C30">
        <w:t xml:space="preserve">, Australia must </w:t>
      </w:r>
      <w:r w:rsidR="00472268">
        <w:t>place</w:t>
      </w:r>
      <w:r w:rsidR="00472268" w:rsidRPr="00887C30">
        <w:t xml:space="preserve"> </w:t>
      </w:r>
      <w:r w:rsidR="007E5524" w:rsidRPr="00887C30">
        <w:t xml:space="preserve">itself </w:t>
      </w:r>
      <w:r w:rsidR="00AA517E">
        <w:t xml:space="preserve">in leadership and technical positions </w:t>
      </w:r>
      <w:r w:rsidR="007E5524" w:rsidRPr="00887C30">
        <w:t xml:space="preserve">to </w:t>
      </w:r>
      <w:r w:rsidR="00AA517E">
        <w:t xml:space="preserve">gain </w:t>
      </w:r>
      <w:r w:rsidR="007E5524" w:rsidRPr="00887C30">
        <w:t xml:space="preserve">foresight of important standards and ensure our perspectives are considered. </w:t>
      </w:r>
      <w:r w:rsidR="002113D6">
        <w:t>As e</w:t>
      </w:r>
      <w:r w:rsidR="007E5524">
        <w:t xml:space="preserve">ach </w:t>
      </w:r>
      <w:r w:rsidR="002113D6">
        <w:t>WOAH M</w:t>
      </w:r>
      <w:r w:rsidR="007E5524">
        <w:t xml:space="preserve">ember holds a single vote </w:t>
      </w:r>
      <w:r w:rsidR="00822CE6">
        <w:t>on whether to adopt proposed standards</w:t>
      </w:r>
      <w:r w:rsidR="00712BC0">
        <w:t xml:space="preserve">, </w:t>
      </w:r>
      <w:r w:rsidR="007E5524" w:rsidRPr="00887C30">
        <w:t xml:space="preserve">Australia must form collaborations and joint strategies with </w:t>
      </w:r>
      <w:r w:rsidR="003B6B4E" w:rsidRPr="00887C30">
        <w:t>like</w:t>
      </w:r>
      <w:r w:rsidR="003B6B4E">
        <w:t>-</w:t>
      </w:r>
      <w:r w:rsidR="003B6B4E" w:rsidRPr="00887C30">
        <w:t xml:space="preserve">minded countries </w:t>
      </w:r>
      <w:r w:rsidR="007E5524" w:rsidRPr="00887C30">
        <w:t xml:space="preserve">to </w:t>
      </w:r>
      <w:r w:rsidR="000F1088">
        <w:t xml:space="preserve">seek </w:t>
      </w:r>
      <w:r w:rsidR="007E5524" w:rsidRPr="00887C30">
        <w:t>broad support for our interests</w:t>
      </w:r>
      <w:r w:rsidR="007E5524">
        <w:t xml:space="preserve">. While the BSE standard revision process may be a unique context, it has allowed the department to learn important lessons for future engagement in ISS and to build institutional knowledge of BSE and WOAH processes. Given learnings from the BSE case study, we recommend: </w:t>
      </w:r>
    </w:p>
    <w:p w14:paraId="0062B11B" w14:textId="7378D418" w:rsidR="00EA3CC2" w:rsidRDefault="00EA3CC2" w:rsidP="00522610">
      <w:pPr>
        <w:pStyle w:val="Numberlist1"/>
        <w:tabs>
          <w:tab w:val="left" w:pos="426"/>
        </w:tabs>
        <w:ind w:left="0" w:firstLine="0"/>
        <w:contextualSpacing w:val="0"/>
      </w:pPr>
      <w:r>
        <w:t>T</w:t>
      </w:r>
      <w:r w:rsidR="00801ACB" w:rsidRPr="00EA3CC2">
        <w:t>he department</w:t>
      </w:r>
      <w:r w:rsidR="005B7D5B">
        <w:t>, industry and Government more broadly</w:t>
      </w:r>
      <w:r w:rsidR="00801ACB" w:rsidRPr="00EA3CC2">
        <w:t xml:space="preserve"> </w:t>
      </w:r>
      <w:r w:rsidR="00822CE6">
        <w:t>recognises</w:t>
      </w:r>
      <w:r w:rsidR="00801ACB" w:rsidRPr="00EA3CC2">
        <w:t xml:space="preserve"> </w:t>
      </w:r>
      <w:r w:rsidR="00F56507" w:rsidRPr="00EA3CC2">
        <w:t xml:space="preserve">investment in </w:t>
      </w:r>
      <w:r w:rsidR="001248F1">
        <w:t xml:space="preserve">ISS </w:t>
      </w:r>
      <w:r w:rsidR="00F56507" w:rsidRPr="00EA3CC2">
        <w:t>far outweigh</w:t>
      </w:r>
      <w:r w:rsidR="001248F1">
        <w:t>s</w:t>
      </w:r>
      <w:r w:rsidR="00F56507" w:rsidRPr="00EA3CC2">
        <w:t xml:space="preserve"> </w:t>
      </w:r>
      <w:r w:rsidR="001248F1">
        <w:t>the costs</w:t>
      </w:r>
      <w:r w:rsidR="007E5524">
        <w:t>.</w:t>
      </w:r>
    </w:p>
    <w:p w14:paraId="624C4258" w14:textId="02FD4E43" w:rsidR="005D0CE8" w:rsidRPr="00EA3CC2" w:rsidRDefault="00EE7FD3" w:rsidP="00EE7FD3">
      <w:r>
        <w:t>Via a basic financial analysis of the BSE standard setting process we have shown the</w:t>
      </w:r>
      <w:r w:rsidR="005D0CE8" w:rsidRPr="00EA3CC2">
        <w:t xml:space="preserve"> financial costs of investment in multilateral engagement</w:t>
      </w:r>
      <w:r w:rsidR="005D0CE8">
        <w:t xml:space="preserve"> via the international standard setting</w:t>
      </w:r>
      <w:r w:rsidR="005D0CE8" w:rsidRPr="00EA3CC2">
        <w:t xml:space="preserve"> </w:t>
      </w:r>
      <w:r w:rsidR="005D0CE8">
        <w:t xml:space="preserve">process </w:t>
      </w:r>
      <w:r w:rsidR="005D0CE8" w:rsidRPr="00EA3CC2">
        <w:t>is far outweighed by the potential returns</w:t>
      </w:r>
      <w:r>
        <w:t xml:space="preserve"> from this process.</w:t>
      </w:r>
    </w:p>
    <w:p w14:paraId="5188F139" w14:textId="7D6D8A1C" w:rsidR="00F56507" w:rsidRDefault="00EA3CC2" w:rsidP="00522610">
      <w:pPr>
        <w:pStyle w:val="Numberlist1"/>
        <w:tabs>
          <w:tab w:val="left" w:pos="426"/>
        </w:tabs>
        <w:ind w:left="0" w:firstLine="0"/>
        <w:contextualSpacing w:val="0"/>
      </w:pPr>
      <w:r>
        <w:t>T</w:t>
      </w:r>
      <w:r w:rsidRPr="00EA3CC2">
        <w:t xml:space="preserve">he department </w:t>
      </w:r>
      <w:r w:rsidR="00822CE6">
        <w:t>recognises</w:t>
      </w:r>
      <w:r w:rsidR="00822CE6" w:rsidRPr="00EA3CC2">
        <w:t xml:space="preserve"> </w:t>
      </w:r>
      <w:r w:rsidRPr="00EA3CC2">
        <w:t>the potential significant impacts of international standards downstream</w:t>
      </w:r>
      <w:r w:rsidR="007E5524">
        <w:t>.</w:t>
      </w:r>
    </w:p>
    <w:p w14:paraId="63E433AE" w14:textId="3CE4A076" w:rsidR="00B2421F" w:rsidRDefault="00B060F1" w:rsidP="00EE7FD3">
      <w:r>
        <w:t>WOAH is the intergovernmental organisation responsible for standard-setting on animal health and zoonoses to facilitate safe trade in animals and animal products</w:t>
      </w:r>
      <w:r w:rsidR="002004C8">
        <w:t xml:space="preserve">. Members of the World Trade Organization (WTO) under their Sanitary and Phytosanitary agreement are obliged to adopt these WOAH standards. The adoption of unfavourable BSE standards or other important standards could have severe consequences to Australia’s biosecurity and market </w:t>
      </w:r>
      <w:r w:rsidR="004D4B77">
        <w:t>access</w:t>
      </w:r>
      <w:r w:rsidR="002004C8">
        <w:t>.</w:t>
      </w:r>
    </w:p>
    <w:p w14:paraId="29ECA629" w14:textId="77777777" w:rsidR="00B2421F" w:rsidRDefault="00B2421F">
      <w:pPr>
        <w:spacing w:before="0" w:after="0" w:line="240" w:lineRule="auto"/>
        <w:jc w:val="left"/>
      </w:pPr>
      <w:r>
        <w:br w:type="page"/>
      </w:r>
    </w:p>
    <w:p w14:paraId="2C9E1A80" w14:textId="100909CF" w:rsidR="00EA3CC2" w:rsidRPr="00EA3CC2" w:rsidRDefault="00EA3CC2" w:rsidP="0090106C">
      <w:pPr>
        <w:pStyle w:val="Numberlist1"/>
        <w:tabs>
          <w:tab w:val="left" w:pos="426"/>
        </w:tabs>
        <w:ind w:left="0" w:firstLine="0"/>
        <w:contextualSpacing w:val="0"/>
      </w:pPr>
      <w:r w:rsidRPr="00EA3CC2">
        <w:lastRenderedPageBreak/>
        <w:t xml:space="preserve">The importance of ISS </w:t>
      </w:r>
      <w:r w:rsidR="00C26F4D">
        <w:t>be</w:t>
      </w:r>
      <w:r w:rsidRPr="00EA3CC2">
        <w:t xml:space="preserve"> elevated within Australia</w:t>
      </w:r>
      <w:r w:rsidR="007260B4">
        <w:t>,</w:t>
      </w:r>
      <w:r w:rsidRPr="00EA3CC2">
        <w:t xml:space="preserve"> and greater staffing allocation and mobility is facilitated to fulfil capacity needs</w:t>
      </w:r>
      <w:r w:rsidR="007E5524">
        <w:t>.</w:t>
      </w:r>
    </w:p>
    <w:p w14:paraId="486B6908" w14:textId="399C8ED5" w:rsidR="00EA3CC2" w:rsidRDefault="00EA3CC2" w:rsidP="00EA3CC2">
      <w:r>
        <w:t xml:space="preserve">WOAH’s increasingly expanding remit </w:t>
      </w:r>
      <w:r w:rsidR="00152AEC">
        <w:t xml:space="preserve">from its original mandate </w:t>
      </w:r>
      <w:r w:rsidR="002A3C7C">
        <w:t xml:space="preserve">of </w:t>
      </w:r>
      <w:r w:rsidR="00152AEC">
        <w:t xml:space="preserve">animal disease transparency and international standards </w:t>
      </w:r>
      <w:r>
        <w:t>has widened the expertise needed by Members to engage on its activities. The volume of WOAH’s international standards is also increasing. Australia will need</w:t>
      </w:r>
      <w:r w:rsidR="00152AEC">
        <w:t xml:space="preserve"> to</w:t>
      </w:r>
      <w:r>
        <w:t xml:space="preserve"> ensure sufficient staff </w:t>
      </w:r>
      <w:r w:rsidR="002004C8">
        <w:t xml:space="preserve">and resources </w:t>
      </w:r>
      <w:r>
        <w:t xml:space="preserve">are allocated to effectively manage ongoing activities with WOAH, and </w:t>
      </w:r>
      <w:r w:rsidR="002004C8">
        <w:t xml:space="preserve">collaboration internally and across Australian Government is supported to address </w:t>
      </w:r>
      <w:r>
        <w:t>multilateral issues of significance.</w:t>
      </w:r>
    </w:p>
    <w:p w14:paraId="2AEC4F83" w14:textId="1CB80C3C" w:rsidR="008D2AE1" w:rsidRPr="00EA3CC2" w:rsidRDefault="00EA3CC2" w:rsidP="002C5E5C">
      <w:pPr>
        <w:pStyle w:val="Numberlist1"/>
        <w:tabs>
          <w:tab w:val="left" w:pos="426"/>
        </w:tabs>
        <w:ind w:left="0" w:firstLine="0"/>
        <w:contextualSpacing w:val="0"/>
      </w:pPr>
      <w:r>
        <w:t xml:space="preserve">The </w:t>
      </w:r>
      <w:r w:rsidR="00EC6718" w:rsidRPr="00EA3CC2">
        <w:t>department</w:t>
      </w:r>
      <w:r w:rsidR="007F28CC" w:rsidRPr="00EA3CC2">
        <w:t xml:space="preserve"> </w:t>
      </w:r>
      <w:r w:rsidR="009B590E" w:rsidRPr="00EA3CC2">
        <w:t>increase</w:t>
      </w:r>
      <w:r w:rsidR="009613B0">
        <w:t>s</w:t>
      </w:r>
      <w:r w:rsidR="00605CA8" w:rsidRPr="00EA3CC2">
        <w:t xml:space="preserve"> its </w:t>
      </w:r>
      <w:r w:rsidR="00801ACB" w:rsidRPr="00EA3CC2">
        <w:t>engagement</w:t>
      </w:r>
      <w:r w:rsidR="00D40A97">
        <w:t xml:space="preserve"> and investment</w:t>
      </w:r>
      <w:r w:rsidR="00801ACB" w:rsidRPr="00EA3CC2">
        <w:t xml:space="preserve"> </w:t>
      </w:r>
      <w:r w:rsidR="00605CA8" w:rsidRPr="00EA3CC2">
        <w:t>in ISS</w:t>
      </w:r>
      <w:r w:rsidR="007E5524">
        <w:t>.</w:t>
      </w:r>
    </w:p>
    <w:p w14:paraId="0098B270" w14:textId="4EC92BB0" w:rsidR="004F04C5" w:rsidRDefault="004F04C5" w:rsidP="007F28CC">
      <w:r>
        <w:t xml:space="preserve">Maintaining the level of annual investment in real terms will aid in preserving Australia’s representation within WOAH. The BSE standards revision has however demonstrated the need to elevate the investment </w:t>
      </w:r>
      <w:r w:rsidR="000A6205">
        <w:t xml:space="preserve">to allow for increased engagement with </w:t>
      </w:r>
      <w:r>
        <w:t xml:space="preserve">multilateral issues, particularly in international standards. Australia is not as well-resourced as larger economies or blocs such as the European Union. </w:t>
      </w:r>
      <w:r w:rsidRPr="00106383">
        <w:t>Instead, Au</w:t>
      </w:r>
      <w:r>
        <w:t>stralia should seek strategic investments, such as via technical committees, international partnerships, or regional leadership positions.</w:t>
      </w:r>
    </w:p>
    <w:p w14:paraId="2FA45EB5" w14:textId="430A7F83" w:rsidR="00AC28D2" w:rsidRDefault="00AC28D2" w:rsidP="002C5E5C">
      <w:pPr>
        <w:pStyle w:val="Numberlist1"/>
        <w:tabs>
          <w:tab w:val="left" w:pos="426"/>
        </w:tabs>
        <w:ind w:left="0" w:firstLine="0"/>
        <w:contextualSpacing w:val="0"/>
      </w:pPr>
      <w:r>
        <w:t xml:space="preserve">The department continues to seek ways to increase Australia’s leadership within WOAH, particularly in areas </w:t>
      </w:r>
      <w:r w:rsidR="00861ED8">
        <w:t>affecting the</w:t>
      </w:r>
      <w:r>
        <w:t xml:space="preserve"> </w:t>
      </w:r>
      <w:r w:rsidR="00B12AE8">
        <w:t>global framework for agricultural trade</w:t>
      </w:r>
      <w:r>
        <w:t>.</w:t>
      </w:r>
    </w:p>
    <w:p w14:paraId="21B52278" w14:textId="70036F57" w:rsidR="00AC28D2" w:rsidRPr="00AC28D2" w:rsidRDefault="00AC28D2" w:rsidP="00AC28D2">
      <w:pPr>
        <w:pStyle w:val="Numberlist1"/>
        <w:numPr>
          <w:ilvl w:val="0"/>
          <w:numId w:val="0"/>
        </w:numPr>
        <w:tabs>
          <w:tab w:val="left" w:pos="426"/>
        </w:tabs>
        <w:contextualSpacing w:val="0"/>
        <w:rPr>
          <w:b w:val="0"/>
          <w:bCs w:val="0"/>
        </w:rPr>
      </w:pPr>
      <w:r w:rsidRPr="00AC28D2">
        <w:rPr>
          <w:b w:val="0"/>
          <w:bCs w:val="0"/>
        </w:rPr>
        <w:t xml:space="preserve">The foresight and ability to provide science-based advice to WOAH through Specialist Commission members has been demonstrated by the events leading to WOAH’s final determination of the role of atypical BSE in its international standards. Australia should coordinate with like-minded partners to maximise membership to Specialist Commissions for itself and its alliances. Australia should also ensure succession planning </w:t>
      </w:r>
      <w:r w:rsidR="00FA4EBD" w:rsidRPr="00AA0E3F">
        <w:rPr>
          <w:b w:val="0"/>
          <w:bCs w:val="0"/>
        </w:rPr>
        <w:t>for its representatives and experts</w:t>
      </w:r>
      <w:r w:rsidR="00816A46" w:rsidRPr="00AA0E3F">
        <w:rPr>
          <w:b w:val="0"/>
          <w:bCs w:val="0"/>
        </w:rPr>
        <w:t xml:space="preserve"> to maintain effective</w:t>
      </w:r>
      <w:r w:rsidR="00A36B23" w:rsidRPr="00AA0E3F">
        <w:rPr>
          <w:b w:val="0"/>
          <w:bCs w:val="0"/>
        </w:rPr>
        <w:t xml:space="preserve"> engage</w:t>
      </w:r>
      <w:r w:rsidR="00816A46" w:rsidRPr="00AA0E3F">
        <w:rPr>
          <w:b w:val="0"/>
          <w:bCs w:val="0"/>
        </w:rPr>
        <w:t>ment</w:t>
      </w:r>
      <w:r w:rsidR="00A36B23" w:rsidRPr="00AA0E3F">
        <w:rPr>
          <w:b w:val="0"/>
          <w:bCs w:val="0"/>
        </w:rPr>
        <w:t xml:space="preserve"> in WOAH activities</w:t>
      </w:r>
      <w:r w:rsidR="00A36B23" w:rsidRPr="00816A46">
        <w:rPr>
          <w:b w:val="0"/>
          <w:bCs w:val="0"/>
        </w:rPr>
        <w:t>.</w:t>
      </w:r>
    </w:p>
    <w:p w14:paraId="301403BB" w14:textId="77C790FD" w:rsidR="00EE72F8" w:rsidRDefault="00D2243D" w:rsidP="002C5E5C">
      <w:pPr>
        <w:pStyle w:val="Numberlist1"/>
        <w:tabs>
          <w:tab w:val="left" w:pos="426"/>
        </w:tabs>
        <w:ind w:left="0" w:firstLine="0"/>
        <w:contextualSpacing w:val="0"/>
      </w:pPr>
      <w:r w:rsidRPr="00ED7352">
        <w:t>Australia</w:t>
      </w:r>
      <w:r w:rsidR="00865399">
        <w:t xml:space="preserve"> increases its</w:t>
      </w:r>
      <w:r w:rsidRPr="00ED7352">
        <w:t xml:space="preserve"> </w:t>
      </w:r>
      <w:r w:rsidR="002A015F">
        <w:t xml:space="preserve">collaboration </w:t>
      </w:r>
      <w:r w:rsidR="00680060">
        <w:t>within the WOAH Asia Pacific region</w:t>
      </w:r>
      <w:r w:rsidR="007E5524">
        <w:t>.</w:t>
      </w:r>
    </w:p>
    <w:p w14:paraId="396DD56E" w14:textId="5BD6E0C7" w:rsidR="00ED7352" w:rsidRDefault="00EE72F8" w:rsidP="00BF235A">
      <w:r w:rsidRPr="00EE72F8">
        <w:t xml:space="preserve">While </w:t>
      </w:r>
      <w:r>
        <w:t xml:space="preserve">the </w:t>
      </w:r>
      <w:r w:rsidR="00100212">
        <w:t xml:space="preserve">veto from one WOAH Member precluded Australia from putting forward a regional position </w:t>
      </w:r>
      <w:r>
        <w:t>opposing the 2022 iteration of the draft BSE standards,</w:t>
      </w:r>
      <w:r w:rsidR="005162FB">
        <w:t xml:space="preserve"> this effort demonstrated the potential </w:t>
      </w:r>
      <w:r w:rsidR="00137867">
        <w:t xml:space="preserve">voting influence of the Asia Pacific’s 32 Members. Development of Australia’s regional </w:t>
      </w:r>
      <w:r w:rsidR="00BF6D74">
        <w:t xml:space="preserve">collaboration </w:t>
      </w:r>
      <w:r w:rsidR="00137867">
        <w:t xml:space="preserve">through </w:t>
      </w:r>
      <w:r w:rsidR="00200C97">
        <w:t xml:space="preserve">financial support for various animal health and capacity building projects and </w:t>
      </w:r>
      <w:r w:rsidR="00684961">
        <w:t xml:space="preserve">seeking </w:t>
      </w:r>
      <w:r w:rsidR="00200C97">
        <w:t xml:space="preserve">leadership positions within its </w:t>
      </w:r>
      <w:r w:rsidR="00874CB2">
        <w:t xml:space="preserve">structure </w:t>
      </w:r>
      <w:r w:rsidR="00DF1AAA">
        <w:t xml:space="preserve">would better position Australia to </w:t>
      </w:r>
      <w:r w:rsidR="000F5DFA">
        <w:t xml:space="preserve">represent </w:t>
      </w:r>
      <w:r w:rsidR="00F7521D">
        <w:t xml:space="preserve">any joint Asia Pacific interests within </w:t>
      </w:r>
      <w:r w:rsidR="00DF1AAA">
        <w:t>WOAH</w:t>
      </w:r>
      <w:r w:rsidR="00F7521D">
        <w:t>’s</w:t>
      </w:r>
      <w:r w:rsidR="00DF1AAA">
        <w:t xml:space="preserve"> agendas.</w:t>
      </w:r>
    </w:p>
    <w:p w14:paraId="54162A9C" w14:textId="77777777" w:rsidR="00BE6C0F" w:rsidRDefault="00BE6C0F" w:rsidP="00BE6C0F">
      <w:pPr>
        <w:pStyle w:val="Numberlist1"/>
        <w:tabs>
          <w:tab w:val="left" w:pos="426"/>
        </w:tabs>
        <w:ind w:left="0" w:firstLine="0"/>
        <w:contextualSpacing w:val="0"/>
      </w:pPr>
      <w:r w:rsidRPr="00ED7352">
        <w:t>Australia</w:t>
      </w:r>
      <w:r>
        <w:t xml:space="preserve"> expands its bilateral relationships around WOAH matters.</w:t>
      </w:r>
    </w:p>
    <w:p w14:paraId="716D8A4C" w14:textId="77777777" w:rsidR="00BE6C0F" w:rsidRPr="00B75A56" w:rsidRDefault="00BE6C0F" w:rsidP="00BE6C0F">
      <w:r w:rsidRPr="00B75A56">
        <w:t>Australia should develop intelligence on the WOAH positions of other Members and expand its relationship</w:t>
      </w:r>
      <w:r>
        <w:t>s</w:t>
      </w:r>
      <w:r w:rsidRPr="00B75A56">
        <w:t xml:space="preserve"> through direct bilateral engagement where possible.</w:t>
      </w:r>
      <w:r>
        <w:t xml:space="preserve"> New engagement with various Members of the Asia Pacific, for example, occurred during the work on new BSE standards.</w:t>
      </w:r>
      <w:r w:rsidRPr="00B75A56">
        <w:t xml:space="preserve"> </w:t>
      </w:r>
    </w:p>
    <w:p w14:paraId="07240ADC" w14:textId="239D5776" w:rsidR="002B29BF" w:rsidRPr="00F32619" w:rsidRDefault="00865399" w:rsidP="00B2421F">
      <w:pPr>
        <w:pStyle w:val="Numberlist1"/>
        <w:tabs>
          <w:tab w:val="left" w:pos="426"/>
        </w:tabs>
        <w:ind w:left="0" w:firstLine="0"/>
        <w:contextualSpacing w:val="0"/>
      </w:pPr>
      <w:r w:rsidRPr="00F32619">
        <w:lastRenderedPageBreak/>
        <w:t xml:space="preserve">Other engagement </w:t>
      </w:r>
      <w:r w:rsidR="002B29BF" w:rsidRPr="00F32619">
        <w:t>scenarios</w:t>
      </w:r>
      <w:r w:rsidRPr="00F32619">
        <w:t xml:space="preserve"> are explored in other sectors</w:t>
      </w:r>
      <w:r w:rsidR="00BB68E7">
        <w:t>.</w:t>
      </w:r>
    </w:p>
    <w:p w14:paraId="6764E91F" w14:textId="35DB2075" w:rsidR="00BC6959" w:rsidRDefault="00781FA2" w:rsidP="0023054D">
      <w:r w:rsidRPr="00F32619">
        <w:t>Other ISS</w:t>
      </w:r>
      <w:r w:rsidR="00F32619" w:rsidRPr="00F32619">
        <w:t xml:space="preserve"> organisations</w:t>
      </w:r>
      <w:r w:rsidRPr="00F32619">
        <w:t xml:space="preserve"> may possess comparable governance frameworks and </w:t>
      </w:r>
      <w:r w:rsidR="002168FD" w:rsidRPr="00F32619">
        <w:t>processes to WOAH. These recommendations should be considered where applicable</w:t>
      </w:r>
      <w:r w:rsidR="002313D2">
        <w:t>,</w:t>
      </w:r>
      <w:r w:rsidR="002168FD" w:rsidRPr="00F32619">
        <w:t xml:space="preserve"> to particularly WTO’s ‘Three Sisters’ organisations – WOAH, the IPPC, and Codex Alimentarius.</w:t>
      </w:r>
      <w:r w:rsidR="00DD5F5A" w:rsidRPr="00F32619">
        <w:t xml:space="preserve"> Vice versa, learnings from engagement with other ISS</w:t>
      </w:r>
      <w:r w:rsidR="002313D2">
        <w:t xml:space="preserve"> organisations</w:t>
      </w:r>
      <w:r w:rsidR="00DD5F5A" w:rsidRPr="00F32619">
        <w:t xml:space="preserve"> should be considered for our strategy with WOAH.</w:t>
      </w:r>
      <w:r w:rsidR="009E6D49">
        <w:t xml:space="preserve"> </w:t>
      </w:r>
    </w:p>
    <w:p w14:paraId="3278F78E" w14:textId="77777777" w:rsidR="00BC6959" w:rsidRDefault="00BC6959">
      <w:pPr>
        <w:spacing w:before="0" w:after="0" w:line="240" w:lineRule="auto"/>
        <w:jc w:val="left"/>
      </w:pPr>
      <w:r>
        <w:br w:type="page"/>
      </w:r>
    </w:p>
    <w:p w14:paraId="539DD12F" w14:textId="77777777" w:rsidR="009E6D49" w:rsidRDefault="009E6D49" w:rsidP="0023054D"/>
    <w:p w14:paraId="36820A8A" w14:textId="77777777" w:rsidR="00BC6959" w:rsidRDefault="00BC6959" w:rsidP="0023054D">
      <w:pPr>
        <w:sectPr w:rsidR="00BC6959" w:rsidSect="009A094A">
          <w:type w:val="oddPage"/>
          <w:pgSz w:w="11906" w:h="16838"/>
          <w:pgMar w:top="1440" w:right="1797" w:bottom="1440" w:left="1797" w:header="720" w:footer="720" w:gutter="0"/>
          <w:cols w:space="720"/>
        </w:sectPr>
      </w:pPr>
    </w:p>
    <w:p w14:paraId="2C7C08F0" w14:textId="41EB3B4D" w:rsidR="00EE266E" w:rsidRDefault="00712A15" w:rsidP="000024FA">
      <w:pPr>
        <w:pStyle w:val="Heading1"/>
      </w:pPr>
      <w:bookmarkStart w:id="20" w:name="_Toc184311741"/>
      <w:bookmarkStart w:id="21" w:name="_Toc206083780"/>
      <w:r>
        <w:lastRenderedPageBreak/>
        <w:t>Introduction</w:t>
      </w:r>
      <w:bookmarkEnd w:id="20"/>
      <w:bookmarkEnd w:id="21"/>
    </w:p>
    <w:p w14:paraId="4BE4FADF" w14:textId="499CFCD5" w:rsidR="00556F66" w:rsidRDefault="00F2376A" w:rsidP="00903E50">
      <w:pPr>
        <w:spacing w:before="200"/>
      </w:pPr>
      <w:r w:rsidRPr="00F2376A">
        <w:t>Australia has a global reputation for high-quality and safe agricultural goods, which is underpinned by freedom from many emergency animal diseases. Pest and disease freedom allow</w:t>
      </w:r>
      <w:r w:rsidR="00795367">
        <w:t xml:space="preserve">s </w:t>
      </w:r>
      <w:r w:rsidR="00DA15B4">
        <w:t>Australian</w:t>
      </w:r>
      <w:r w:rsidRPr="00F2376A">
        <w:t xml:space="preserve"> producers to access export markets, justify premium prices, and enables integration of Australian products within international supply chains. With around 70% of Australia’s agricultural produce currently </w:t>
      </w:r>
      <w:r w:rsidR="00795367" w:rsidRPr="00F2376A">
        <w:t>exported</w:t>
      </w:r>
      <w:r w:rsidR="001C209E">
        <w:t xml:space="preserve"> (ABARES 2023)</w:t>
      </w:r>
      <w:r w:rsidR="00795367" w:rsidRPr="00F2376A">
        <w:t>,</w:t>
      </w:r>
      <w:r w:rsidRPr="00F2376A">
        <w:t xml:space="preserve"> Australia’s ability to remain free of many pests and diseases by maintaining an effective biosecurity system is instrumental to economic wellbeing. An effective biosecurity system is crucial to the continued growth of gross value of agricultural production in Australia, forecast to </w:t>
      </w:r>
      <w:r w:rsidRPr="002D3A47">
        <w:t>be $</w:t>
      </w:r>
      <w:r w:rsidR="002D3A47" w:rsidRPr="002D3A47">
        <w:t>88.4</w:t>
      </w:r>
      <w:r w:rsidRPr="002D3A47">
        <w:t xml:space="preserve"> billion in 202</w:t>
      </w:r>
      <w:r w:rsidR="002D3A47" w:rsidRPr="002D3A47">
        <w:t>4</w:t>
      </w:r>
      <w:r w:rsidRPr="002D3A47">
        <w:t>–2</w:t>
      </w:r>
      <w:r w:rsidR="002D3A47" w:rsidRPr="002D3A47">
        <w:t>5</w:t>
      </w:r>
      <w:r w:rsidR="002D3A47">
        <w:t xml:space="preserve"> (</w:t>
      </w:r>
      <w:hyperlink r:id="rId23" w:history="1">
        <w:r w:rsidR="00010E70" w:rsidRPr="00010E70">
          <w:rPr>
            <w:rStyle w:val="Hyperlink"/>
          </w:rPr>
          <w:t>ABARES 2024</w:t>
        </w:r>
      </w:hyperlink>
      <w:r w:rsidR="00010E70">
        <w:t>)</w:t>
      </w:r>
      <w:r w:rsidRPr="002D3A47">
        <w:t>.</w:t>
      </w:r>
      <w:r w:rsidRPr="00F2376A">
        <w:t xml:space="preserve"> </w:t>
      </w:r>
    </w:p>
    <w:p w14:paraId="60B04DDC" w14:textId="65912B22" w:rsidR="00B24479" w:rsidRDefault="00903E50" w:rsidP="00892CEE">
      <w:pPr>
        <w:spacing w:before="200"/>
      </w:pPr>
      <w:r w:rsidRPr="00903E50">
        <w:t xml:space="preserve">Engagement in international standard setting (ISS) is a critical component of Australia’s biosecurity system. It supports agricultural productivity by providing safe trade and market access opportunities for Australian producers, </w:t>
      </w:r>
      <w:r w:rsidR="0059102B">
        <w:t>promoting science-based</w:t>
      </w:r>
      <w:r w:rsidRPr="00903E50">
        <w:t xml:space="preserve"> biosecurity </w:t>
      </w:r>
      <w:r w:rsidR="0059102B" w:rsidRPr="00903E50">
        <w:t>risk</w:t>
      </w:r>
      <w:r w:rsidR="0059102B">
        <w:t xml:space="preserve"> management</w:t>
      </w:r>
      <w:r w:rsidRPr="00903E50">
        <w:t xml:space="preserve">, and </w:t>
      </w:r>
      <w:r w:rsidR="009A3E38">
        <w:t>helping reduce</w:t>
      </w:r>
      <w:r w:rsidR="009A3E38" w:rsidRPr="00903E50">
        <w:t xml:space="preserve"> </w:t>
      </w:r>
      <w:r w:rsidRPr="00903E50">
        <w:t xml:space="preserve">sanitary-related trade costs. </w:t>
      </w:r>
    </w:p>
    <w:p w14:paraId="30F0DC15" w14:textId="67565578" w:rsidR="00892CEE" w:rsidRDefault="00892CEE" w:rsidP="00892CEE">
      <w:pPr>
        <w:spacing w:before="200"/>
      </w:pPr>
      <w:r>
        <w:t>T</w:t>
      </w:r>
      <w:r w:rsidRPr="00F2376A">
        <w:t xml:space="preserve">he </w:t>
      </w:r>
      <w:r w:rsidR="00DA209E">
        <w:t xml:space="preserve">Australian Government </w:t>
      </w:r>
      <w:r>
        <w:t xml:space="preserve">Department of Agriculture, Fisheries and Forestry (the </w:t>
      </w:r>
      <w:r w:rsidRPr="00F2376A">
        <w:t>department</w:t>
      </w:r>
      <w:r>
        <w:t>)</w:t>
      </w:r>
      <w:r w:rsidRPr="00F2376A">
        <w:t xml:space="preserve"> invest</w:t>
      </w:r>
      <w:r>
        <w:t>s</w:t>
      </w:r>
      <w:r w:rsidRPr="00F2376A">
        <w:t xml:space="preserve"> in ISS and global animal health policy and program activities through </w:t>
      </w:r>
      <w:r>
        <w:t>the World Organisation for Animal Health (</w:t>
      </w:r>
      <w:r w:rsidRPr="00F2376A">
        <w:t>WOAH</w:t>
      </w:r>
      <w:r>
        <w:t>). This investment</w:t>
      </w:r>
      <w:r w:rsidRPr="00F2376A">
        <w:t xml:space="preserve"> </w:t>
      </w:r>
      <w:r w:rsidR="00B24479">
        <w:t xml:space="preserve">also </w:t>
      </w:r>
      <w:r w:rsidRPr="00F2376A">
        <w:t>contributes to improv</w:t>
      </w:r>
      <w:r>
        <w:t>ing</w:t>
      </w:r>
      <w:r w:rsidRPr="00F2376A">
        <w:t xml:space="preserve"> the knowledge and management of global animal health disease threats, and supports capacity building in developing countries, thereby further reducing the disease pressures on Australia’s border biosecurity </w:t>
      </w:r>
      <w:r w:rsidR="00D40316" w:rsidRPr="00F2376A">
        <w:t>systems</w:t>
      </w:r>
      <w:r w:rsidRPr="00F2376A">
        <w:t xml:space="preserve">. </w:t>
      </w:r>
    </w:p>
    <w:p w14:paraId="4C9FEB1B" w14:textId="2FD1F19B" w:rsidR="005B16C4" w:rsidRPr="00903E50" w:rsidRDefault="009E55FC" w:rsidP="005B16C4">
      <w:pPr>
        <w:spacing w:before="200"/>
      </w:pPr>
      <w:r>
        <w:t>T</w:t>
      </w:r>
      <w:r w:rsidR="005B16C4" w:rsidRPr="00903E50">
        <w:t>he value of this engagement and the return on the department’s investment in ISS can be hard to quantify</w:t>
      </w:r>
      <w:r w:rsidR="005B16C4">
        <w:t xml:space="preserve"> and is not always obvious</w:t>
      </w:r>
      <w:r w:rsidR="005B16C4" w:rsidRPr="00903E50">
        <w:t xml:space="preserve">. </w:t>
      </w:r>
      <w:r w:rsidR="005B16C4">
        <w:t>This is p</w:t>
      </w:r>
      <w:r w:rsidR="005B16C4" w:rsidRPr="00903E50">
        <w:t xml:space="preserve">articularly </w:t>
      </w:r>
      <w:r w:rsidR="005B16C4">
        <w:t xml:space="preserve">the case </w:t>
      </w:r>
      <w:r w:rsidR="005B16C4" w:rsidRPr="00903E50">
        <w:t xml:space="preserve">in the </w:t>
      </w:r>
      <w:r w:rsidR="001366B2">
        <w:t xml:space="preserve">area of </w:t>
      </w:r>
      <w:r w:rsidR="005B16C4" w:rsidRPr="00903E50">
        <w:t>biosecurity and disease prevention,</w:t>
      </w:r>
      <w:r w:rsidR="005B16C4">
        <w:t xml:space="preserve"> where</w:t>
      </w:r>
      <w:r w:rsidR="005B16C4" w:rsidRPr="00903E50">
        <w:t xml:space="preserve"> the effects of decisions made upstream</w:t>
      </w:r>
      <w:r w:rsidR="00315339">
        <w:rPr>
          <w:iCs/>
        </w:rPr>
        <w:t>—</w:t>
      </w:r>
      <w:r w:rsidR="001B012A" w:rsidRPr="001B012A">
        <w:rPr>
          <w:iCs/>
        </w:rPr>
        <w:t xml:space="preserve">such as preventing negative </w:t>
      </w:r>
      <w:r w:rsidR="001B012A">
        <w:rPr>
          <w:iCs/>
        </w:rPr>
        <w:t>impact</w:t>
      </w:r>
      <w:r w:rsidR="00903CCA">
        <w:rPr>
          <w:iCs/>
        </w:rPr>
        <w:t>s</w:t>
      </w:r>
      <w:r w:rsidR="001B012A">
        <w:rPr>
          <w:iCs/>
        </w:rPr>
        <w:t>—</w:t>
      </w:r>
      <w:r w:rsidR="005B16C4" w:rsidRPr="00903E50">
        <w:t xml:space="preserve">may not be </w:t>
      </w:r>
      <w:r w:rsidR="001B012A">
        <w:t xml:space="preserve">immediately </w:t>
      </w:r>
      <w:r w:rsidR="005B16C4" w:rsidRPr="00903E50">
        <w:t xml:space="preserve">apparent to </w:t>
      </w:r>
      <w:r w:rsidR="005B16C4">
        <w:t xml:space="preserve">producers and </w:t>
      </w:r>
      <w:r w:rsidR="005B16C4" w:rsidRPr="00903E50">
        <w:t>stakeholders</w:t>
      </w:r>
      <w:r w:rsidR="000173C5">
        <w:t>, unlike when a negative impact actually occurs</w:t>
      </w:r>
      <w:r w:rsidR="005B16C4" w:rsidRPr="00903E50">
        <w:t xml:space="preserve">. Additionally, </w:t>
      </w:r>
      <w:r w:rsidR="005B16C4">
        <w:t>it is</w:t>
      </w:r>
      <w:r w:rsidR="005B16C4" w:rsidRPr="00903E50">
        <w:t xml:space="preserve"> often difficult to distinguish the high yield ISS engagement activities from the lower yielding activities.</w:t>
      </w:r>
    </w:p>
    <w:p w14:paraId="2E0B476C" w14:textId="77777777" w:rsidR="005B16C4" w:rsidRDefault="005B16C4" w:rsidP="005B16C4">
      <w:r w:rsidRPr="00903E50">
        <w:t>Without clear evidence of a return on investment for the department and Australian producers, essential resources underpinning ISS engagement are at risk of being reprioritised</w:t>
      </w:r>
      <w:r>
        <w:t>, both by governments and industry</w:t>
      </w:r>
      <w:r w:rsidRPr="00903E50">
        <w:t>. Opportunities to advance Australia’s objectives through standard setting mechanisms may also be missed.</w:t>
      </w:r>
    </w:p>
    <w:p w14:paraId="0410153F" w14:textId="2700789E" w:rsidR="00FD4D0F" w:rsidRDefault="00FB76A1" w:rsidP="00FB76A1">
      <w:pPr>
        <w:rPr>
          <w:iCs/>
        </w:rPr>
      </w:pPr>
      <w:bookmarkStart w:id="22" w:name="_Toc449519282"/>
      <w:r w:rsidRPr="00903E50">
        <w:rPr>
          <w:iCs/>
        </w:rPr>
        <w:t xml:space="preserve">This project uses the case study of maintaining Australia’s official status for </w:t>
      </w:r>
      <w:bookmarkStart w:id="23" w:name="_Hlk185252809"/>
      <w:r w:rsidR="00BC6B2E">
        <w:rPr>
          <w:iCs/>
        </w:rPr>
        <w:t>bovine spongiform encephalopathy</w:t>
      </w:r>
      <w:r w:rsidR="0092518C">
        <w:rPr>
          <w:iCs/>
        </w:rPr>
        <w:t xml:space="preserve"> (</w:t>
      </w:r>
      <w:r w:rsidRPr="00903E50">
        <w:rPr>
          <w:iCs/>
        </w:rPr>
        <w:t>BSE</w:t>
      </w:r>
      <w:r w:rsidR="0092518C">
        <w:rPr>
          <w:iCs/>
        </w:rPr>
        <w:t>;</w:t>
      </w:r>
      <w:r w:rsidR="007D14AA">
        <w:rPr>
          <w:iCs/>
        </w:rPr>
        <w:t xml:space="preserve"> sometimes referred to as</w:t>
      </w:r>
      <w:r w:rsidR="00A7563C">
        <w:rPr>
          <w:iCs/>
        </w:rPr>
        <w:t xml:space="preserve"> </w:t>
      </w:r>
      <w:r w:rsidR="00742792">
        <w:t>“mad cow disease”</w:t>
      </w:r>
      <w:r w:rsidR="00EF2E1C">
        <w:t>)</w:t>
      </w:r>
      <w:r>
        <w:rPr>
          <w:iCs/>
        </w:rPr>
        <w:t xml:space="preserve">—where there was real potential for loss of status during the 2018-2021 </w:t>
      </w:r>
      <w:r w:rsidR="003D63DA">
        <w:rPr>
          <w:iCs/>
        </w:rPr>
        <w:t xml:space="preserve">BSE </w:t>
      </w:r>
      <w:r>
        <w:rPr>
          <w:iCs/>
        </w:rPr>
        <w:t>standard revision process—</w:t>
      </w:r>
      <w:r w:rsidRPr="00903E50">
        <w:rPr>
          <w:iCs/>
        </w:rPr>
        <w:t>to provide a quantified example of the value of the department’s engagement in ISS</w:t>
      </w:r>
      <w:r w:rsidR="001B4916" w:rsidRPr="00903E50">
        <w:rPr>
          <w:iCs/>
        </w:rPr>
        <w:t xml:space="preserve">. </w:t>
      </w:r>
      <w:r w:rsidR="001B4916">
        <w:rPr>
          <w:iCs/>
        </w:rPr>
        <w:t xml:space="preserve">Loss of official status would have </w:t>
      </w:r>
      <w:r w:rsidR="004C3C4B">
        <w:rPr>
          <w:iCs/>
        </w:rPr>
        <w:t xml:space="preserve">significantly </w:t>
      </w:r>
      <w:r w:rsidR="001B4916">
        <w:rPr>
          <w:iCs/>
        </w:rPr>
        <w:t>impacted the high-value Australian beef and rendering industries</w:t>
      </w:r>
      <w:r w:rsidR="004558C1">
        <w:rPr>
          <w:iCs/>
        </w:rPr>
        <w:t xml:space="preserve">. </w:t>
      </w:r>
    </w:p>
    <w:p w14:paraId="56EBF489" w14:textId="58200C48" w:rsidR="00FB76A1" w:rsidRDefault="008F3AB5" w:rsidP="00FB76A1">
      <w:pPr>
        <w:rPr>
          <w:iCs/>
        </w:rPr>
      </w:pPr>
      <w:r w:rsidRPr="00B2421F">
        <w:rPr>
          <w:iCs/>
        </w:rPr>
        <w:t>Through active engagement in WOAH’s ISS processes and leveraging networks and scientific expertise</w:t>
      </w:r>
      <w:r w:rsidR="00FB76A1" w:rsidRPr="00CB7907">
        <w:rPr>
          <w:iCs/>
        </w:rPr>
        <w:t>,</w:t>
      </w:r>
      <w:r w:rsidR="00FB76A1" w:rsidRPr="00C4363E">
        <w:rPr>
          <w:iCs/>
        </w:rPr>
        <w:t xml:space="preserve"> Australia </w:t>
      </w:r>
      <w:r w:rsidR="007E2647">
        <w:rPr>
          <w:iCs/>
        </w:rPr>
        <w:t xml:space="preserve">and </w:t>
      </w:r>
      <w:r w:rsidR="000B3E3E">
        <w:rPr>
          <w:iCs/>
        </w:rPr>
        <w:t xml:space="preserve">other </w:t>
      </w:r>
      <w:r w:rsidR="00D151BC">
        <w:rPr>
          <w:iCs/>
        </w:rPr>
        <w:t xml:space="preserve">like-minded </w:t>
      </w:r>
      <w:r w:rsidR="000B3E3E">
        <w:rPr>
          <w:iCs/>
        </w:rPr>
        <w:t xml:space="preserve">countries </w:t>
      </w:r>
      <w:r w:rsidR="00D73DCE">
        <w:rPr>
          <w:iCs/>
        </w:rPr>
        <w:t xml:space="preserve">with </w:t>
      </w:r>
      <w:r w:rsidR="003D63DA">
        <w:rPr>
          <w:iCs/>
        </w:rPr>
        <w:t>similar</w:t>
      </w:r>
      <w:r w:rsidR="00D73DCE">
        <w:rPr>
          <w:iCs/>
        </w:rPr>
        <w:t xml:space="preserve"> concerns</w:t>
      </w:r>
      <w:r w:rsidR="00B0732E">
        <w:rPr>
          <w:iCs/>
        </w:rPr>
        <w:t xml:space="preserve"> about the standard revision process, </w:t>
      </w:r>
      <w:r w:rsidR="00FB76A1" w:rsidRPr="00C4363E">
        <w:rPr>
          <w:iCs/>
        </w:rPr>
        <w:t xml:space="preserve">managed to delay the adoption of the standards </w:t>
      </w:r>
      <w:r w:rsidR="00FB76A1" w:rsidRPr="00C4363E">
        <w:rPr>
          <w:iCs/>
        </w:rPr>
        <w:lastRenderedPageBreak/>
        <w:t>until May 2023</w:t>
      </w:r>
      <w:r w:rsidR="00A425A7">
        <w:rPr>
          <w:iCs/>
        </w:rPr>
        <w:t>.</w:t>
      </w:r>
      <w:r w:rsidR="00817F8B">
        <w:rPr>
          <w:iCs/>
        </w:rPr>
        <w:t xml:space="preserve"> </w:t>
      </w:r>
      <w:r w:rsidR="00C20B80">
        <w:rPr>
          <w:iCs/>
        </w:rPr>
        <w:t>By then</w:t>
      </w:r>
      <w:r w:rsidR="002A4856">
        <w:rPr>
          <w:iCs/>
        </w:rPr>
        <w:t>,</w:t>
      </w:r>
      <w:r w:rsidR="00FB76A1" w:rsidRPr="00C4363E">
        <w:rPr>
          <w:iCs/>
        </w:rPr>
        <w:t xml:space="preserve"> acceptable revisions were made, and an evaluation</w:t>
      </w:r>
      <w:r w:rsidR="00C20B80">
        <w:rPr>
          <w:iCs/>
        </w:rPr>
        <w:t xml:space="preserve"> by</w:t>
      </w:r>
      <w:r w:rsidR="00FB76A1" w:rsidRPr="00C4363E">
        <w:rPr>
          <w:iCs/>
        </w:rPr>
        <w:t xml:space="preserve"> </w:t>
      </w:r>
      <w:r w:rsidR="00C20B80">
        <w:rPr>
          <w:iCs/>
        </w:rPr>
        <w:t xml:space="preserve">WOAH </w:t>
      </w:r>
      <w:r w:rsidR="00080CDE">
        <w:rPr>
          <w:iCs/>
        </w:rPr>
        <w:t xml:space="preserve">had </w:t>
      </w:r>
      <w:r w:rsidR="00FB76A1" w:rsidRPr="00C4363E">
        <w:rPr>
          <w:iCs/>
        </w:rPr>
        <w:t>confirm</w:t>
      </w:r>
      <w:r w:rsidR="00080CDE">
        <w:rPr>
          <w:iCs/>
        </w:rPr>
        <w:t>ed</w:t>
      </w:r>
      <w:r w:rsidR="00FB76A1" w:rsidRPr="00C4363E">
        <w:rPr>
          <w:iCs/>
        </w:rPr>
        <w:t xml:space="preserve"> </w:t>
      </w:r>
      <w:r w:rsidR="003C7551">
        <w:rPr>
          <w:iCs/>
        </w:rPr>
        <w:t>Australia’s</w:t>
      </w:r>
      <w:r w:rsidR="003C7551" w:rsidRPr="00C4363E">
        <w:rPr>
          <w:iCs/>
        </w:rPr>
        <w:t xml:space="preserve"> </w:t>
      </w:r>
      <w:r w:rsidR="00FB76A1" w:rsidRPr="00C4363E">
        <w:rPr>
          <w:iCs/>
        </w:rPr>
        <w:t xml:space="preserve">BSE negligible risk status </w:t>
      </w:r>
      <w:r w:rsidR="00080CDE">
        <w:rPr>
          <w:iCs/>
        </w:rPr>
        <w:t xml:space="preserve">under the new standards </w:t>
      </w:r>
      <w:r w:rsidR="00FB76A1" w:rsidRPr="00C4363E">
        <w:rPr>
          <w:iCs/>
        </w:rPr>
        <w:t>without the need for costly changes to existing industry practices.</w:t>
      </w:r>
    </w:p>
    <w:p w14:paraId="52FC920E" w14:textId="04F4D1AB" w:rsidR="00246A68" w:rsidRDefault="00246A68" w:rsidP="00545B20">
      <w:pPr>
        <w:pStyle w:val="Heading2"/>
        <w:rPr>
          <w:rFonts w:eastAsia="Cambria"/>
        </w:rPr>
      </w:pPr>
      <w:bookmarkStart w:id="24" w:name="_Toc184311742"/>
      <w:bookmarkStart w:id="25" w:name="_Toc206083781"/>
      <w:bookmarkEnd w:id="23"/>
      <w:r>
        <w:rPr>
          <w:rFonts w:eastAsia="Cambria"/>
        </w:rPr>
        <w:t>Objectives</w:t>
      </w:r>
      <w:bookmarkEnd w:id="24"/>
      <w:bookmarkEnd w:id="25"/>
    </w:p>
    <w:p w14:paraId="09694C97" w14:textId="51A452E3" w:rsidR="00C4363E" w:rsidRDefault="00C4363E" w:rsidP="00C4363E">
      <w:pPr>
        <w:rPr>
          <w:iCs/>
        </w:rPr>
      </w:pPr>
      <w:r w:rsidRPr="00C4363E">
        <w:rPr>
          <w:iCs/>
        </w:rPr>
        <w:t xml:space="preserve">This project </w:t>
      </w:r>
      <w:r w:rsidR="001257D0">
        <w:rPr>
          <w:iCs/>
        </w:rPr>
        <w:t>aimed to</w:t>
      </w:r>
      <w:r w:rsidR="001257D0" w:rsidRPr="00C4363E">
        <w:rPr>
          <w:iCs/>
        </w:rPr>
        <w:t xml:space="preserve"> </w:t>
      </w:r>
      <w:r w:rsidRPr="00C4363E">
        <w:rPr>
          <w:iCs/>
        </w:rPr>
        <w:t>put a financial value on the range of negative outcomes which were avoided</w:t>
      </w:r>
      <w:r>
        <w:rPr>
          <w:iCs/>
        </w:rPr>
        <w:t xml:space="preserve"> in the recent revision of the BSE standard</w:t>
      </w:r>
      <w:r w:rsidRPr="00C4363E">
        <w:rPr>
          <w:iCs/>
        </w:rPr>
        <w:t xml:space="preserve">. These are likely to have been substantial and </w:t>
      </w:r>
      <w:r w:rsidR="00C21A00">
        <w:rPr>
          <w:iCs/>
        </w:rPr>
        <w:t>long lasting</w:t>
      </w:r>
      <w:r w:rsidRPr="00C4363E">
        <w:rPr>
          <w:iCs/>
        </w:rPr>
        <w:t>, given the impact on many elements of Australia’s cattle and meat industry. They would also have impacted Australia’s international reputation as a trusted trading partner.</w:t>
      </w:r>
      <w:r>
        <w:rPr>
          <w:iCs/>
        </w:rPr>
        <w:t xml:space="preserve"> A key part of this exercise </w:t>
      </w:r>
      <w:r w:rsidR="000F71B4">
        <w:rPr>
          <w:iCs/>
        </w:rPr>
        <w:t xml:space="preserve">was </w:t>
      </w:r>
      <w:r>
        <w:rPr>
          <w:iCs/>
        </w:rPr>
        <w:t>to:</w:t>
      </w:r>
    </w:p>
    <w:p w14:paraId="3F1C4518" w14:textId="0AC0BE17" w:rsidR="00C4363E" w:rsidRPr="00C4363E" w:rsidRDefault="00C4363E" w:rsidP="00CD0105">
      <w:pPr>
        <w:pStyle w:val="ListParagraph"/>
        <w:numPr>
          <w:ilvl w:val="0"/>
          <w:numId w:val="9"/>
        </w:numPr>
        <w:ind w:left="714" w:hanging="357"/>
        <w:contextualSpacing w:val="0"/>
        <w:rPr>
          <w:iCs/>
        </w:rPr>
      </w:pPr>
      <w:r w:rsidRPr="00C4363E">
        <w:rPr>
          <w:iCs/>
        </w:rPr>
        <w:t xml:space="preserve">Identify the outcomes that were </w:t>
      </w:r>
      <w:r w:rsidR="00227D85">
        <w:rPr>
          <w:iCs/>
        </w:rPr>
        <w:t xml:space="preserve">possible </w:t>
      </w:r>
      <w:r w:rsidRPr="00C4363E">
        <w:rPr>
          <w:iCs/>
        </w:rPr>
        <w:t xml:space="preserve">(but didn’t eventuate) </w:t>
      </w:r>
      <w:r w:rsidR="00D50673">
        <w:rPr>
          <w:iCs/>
        </w:rPr>
        <w:t>from</w:t>
      </w:r>
      <w:r w:rsidRPr="00C4363E">
        <w:rPr>
          <w:iCs/>
        </w:rPr>
        <w:t xml:space="preserve"> WOAH</w:t>
      </w:r>
      <w:r w:rsidR="00D50673">
        <w:rPr>
          <w:iCs/>
        </w:rPr>
        <w:t>’s</w:t>
      </w:r>
      <w:r w:rsidRPr="00C4363E">
        <w:rPr>
          <w:iCs/>
        </w:rPr>
        <w:t xml:space="preserve"> assessment of Australia’s official BSE status or </w:t>
      </w:r>
      <w:r w:rsidR="00D50673">
        <w:rPr>
          <w:iCs/>
        </w:rPr>
        <w:t xml:space="preserve">the adoption of </w:t>
      </w:r>
      <w:r w:rsidRPr="00C4363E">
        <w:rPr>
          <w:iCs/>
        </w:rPr>
        <w:t xml:space="preserve">problematic </w:t>
      </w:r>
      <w:r w:rsidR="00D50673">
        <w:rPr>
          <w:iCs/>
        </w:rPr>
        <w:t xml:space="preserve">draft </w:t>
      </w:r>
      <w:r w:rsidRPr="00C4363E">
        <w:rPr>
          <w:iCs/>
        </w:rPr>
        <w:t>BSE standards.</w:t>
      </w:r>
    </w:p>
    <w:p w14:paraId="7A057EDC" w14:textId="54A201DF" w:rsidR="00D31A6D" w:rsidRPr="00012C98" w:rsidRDefault="00D31A6D" w:rsidP="00CD0105">
      <w:pPr>
        <w:pStyle w:val="ListParagraph"/>
        <w:numPr>
          <w:ilvl w:val="0"/>
          <w:numId w:val="9"/>
        </w:numPr>
        <w:ind w:left="714" w:hanging="357"/>
        <w:contextualSpacing w:val="0"/>
        <w:rPr>
          <w:iCs/>
        </w:rPr>
      </w:pPr>
      <w:r w:rsidRPr="00012C98">
        <w:rPr>
          <w:rFonts w:eastAsia="Calibri"/>
        </w:rPr>
        <w:t xml:space="preserve">A qualitative assessment into Australia’s specific engagement activities around the BSE standards to understand </w:t>
      </w:r>
      <w:r w:rsidR="0076116A" w:rsidRPr="00012C98">
        <w:rPr>
          <w:rFonts w:eastAsia="Calibri"/>
        </w:rPr>
        <w:t>how</w:t>
      </w:r>
      <w:r w:rsidRPr="00012C98">
        <w:rPr>
          <w:rFonts w:eastAsia="Calibri"/>
        </w:rPr>
        <w:t xml:space="preserve"> Australia’s interests </w:t>
      </w:r>
      <w:r w:rsidR="0076116A" w:rsidRPr="00012C98">
        <w:rPr>
          <w:rFonts w:eastAsia="Calibri"/>
        </w:rPr>
        <w:t>were represented through</w:t>
      </w:r>
      <w:r w:rsidRPr="00012C98">
        <w:rPr>
          <w:rFonts w:eastAsia="Calibri"/>
        </w:rPr>
        <w:t xml:space="preserve"> WOAH’s international standard setting process</w:t>
      </w:r>
      <w:r w:rsidR="00044B2F" w:rsidRPr="00012C98">
        <w:rPr>
          <w:rFonts w:eastAsia="Calibri"/>
        </w:rPr>
        <w:t>.</w:t>
      </w:r>
    </w:p>
    <w:p w14:paraId="119EF071" w14:textId="662E9B08" w:rsidR="00AB152D" w:rsidRDefault="00AB152D" w:rsidP="00CD0105">
      <w:pPr>
        <w:pStyle w:val="ListParagraph"/>
        <w:numPr>
          <w:ilvl w:val="0"/>
          <w:numId w:val="9"/>
        </w:numPr>
        <w:ind w:left="714" w:hanging="357"/>
        <w:contextualSpacing w:val="0"/>
        <w:rPr>
          <w:iCs/>
        </w:rPr>
      </w:pPr>
      <w:r>
        <w:rPr>
          <w:iCs/>
        </w:rPr>
        <w:t xml:space="preserve">Estimate the dollar value </w:t>
      </w:r>
      <w:r w:rsidR="00340EEF">
        <w:rPr>
          <w:iCs/>
        </w:rPr>
        <w:t xml:space="preserve">impact </w:t>
      </w:r>
      <w:r>
        <w:rPr>
          <w:iCs/>
        </w:rPr>
        <w:t xml:space="preserve">of </w:t>
      </w:r>
      <w:r w:rsidR="00340EEF">
        <w:rPr>
          <w:iCs/>
        </w:rPr>
        <w:t xml:space="preserve">each </w:t>
      </w:r>
      <w:r w:rsidR="00D50673">
        <w:rPr>
          <w:iCs/>
        </w:rPr>
        <w:t xml:space="preserve">possible </w:t>
      </w:r>
      <w:r w:rsidR="00340EEF">
        <w:rPr>
          <w:iCs/>
        </w:rPr>
        <w:t xml:space="preserve">outcome on Australia’s agricultural </w:t>
      </w:r>
      <w:r w:rsidR="009F646A">
        <w:rPr>
          <w:iCs/>
        </w:rPr>
        <w:t>industry</w:t>
      </w:r>
      <w:r w:rsidR="00340EEF">
        <w:rPr>
          <w:iCs/>
        </w:rPr>
        <w:t>.</w:t>
      </w:r>
    </w:p>
    <w:p w14:paraId="35256D7E" w14:textId="21D5EAB6" w:rsidR="00E7560D" w:rsidRDefault="00E7560D" w:rsidP="00545B20">
      <w:pPr>
        <w:pStyle w:val="Heading2"/>
        <w:rPr>
          <w:rFonts w:eastAsia="Cambria"/>
        </w:rPr>
      </w:pPr>
      <w:bookmarkStart w:id="26" w:name="_Toc184311743"/>
      <w:bookmarkStart w:id="27" w:name="_Toc206083782"/>
      <w:r>
        <w:rPr>
          <w:rFonts w:eastAsia="Cambria"/>
        </w:rPr>
        <w:t>Methodology</w:t>
      </w:r>
      <w:bookmarkEnd w:id="26"/>
      <w:bookmarkEnd w:id="27"/>
    </w:p>
    <w:p w14:paraId="2108726A" w14:textId="36163268" w:rsidR="001F4A5E" w:rsidRDefault="001F4A5E" w:rsidP="001F4A5E">
      <w:r>
        <w:t>This project employed a mixed-methods approach</w:t>
      </w:r>
      <w:r w:rsidRPr="6A536E14">
        <w:t xml:space="preserve">; </w:t>
      </w:r>
      <w:r>
        <w:t>that is,</w:t>
      </w:r>
      <w:r w:rsidRPr="6A536E14">
        <w:t xml:space="preserve"> </w:t>
      </w:r>
      <w:r>
        <w:t>it use</w:t>
      </w:r>
      <w:r w:rsidR="00E46FE2">
        <w:t>d</w:t>
      </w:r>
      <w:r>
        <w:t xml:space="preserve"> two complementary data collection and analysis strategies to evaluate the impact of </w:t>
      </w:r>
      <w:r w:rsidR="003038FC">
        <w:t xml:space="preserve">Australia’s </w:t>
      </w:r>
      <w:r>
        <w:t xml:space="preserve">engagement in ISS on the outcome of BSE standard setting. The </w:t>
      </w:r>
      <w:r w:rsidRPr="003038FC">
        <w:t>first</w:t>
      </w:r>
      <w:r>
        <w:t xml:space="preserve"> involve</w:t>
      </w:r>
      <w:r w:rsidR="00E46FE2">
        <w:t>d</w:t>
      </w:r>
      <w:r>
        <w:t xml:space="preserve"> a qualitative analysis of interviews with relevant Australian and international stakeholders involved in the BSE standard revision process</w:t>
      </w:r>
      <w:r w:rsidR="00AD6D07">
        <w:t>.</w:t>
      </w:r>
      <w:r>
        <w:t xml:space="preserve"> </w:t>
      </w:r>
      <w:r w:rsidR="00AD6D07">
        <w:t>T</w:t>
      </w:r>
      <w:r>
        <w:t xml:space="preserve">he </w:t>
      </w:r>
      <w:r w:rsidR="00D113FD" w:rsidRPr="00012C98">
        <w:t xml:space="preserve">second </w:t>
      </w:r>
      <w:r w:rsidR="002B48A9" w:rsidRPr="00012C98">
        <w:t xml:space="preserve">employed a counterfactual approach to </w:t>
      </w:r>
      <w:r w:rsidR="00D113FD" w:rsidRPr="00012C98">
        <w:t xml:space="preserve">estimate the potential financial impacts </w:t>
      </w:r>
      <w:r w:rsidR="00802BF3" w:rsidRPr="00012C98">
        <w:t>on the Australian livestock and rendering industries</w:t>
      </w:r>
      <w:r w:rsidR="00AD6D07" w:rsidRPr="00012C98">
        <w:t xml:space="preserve"> from various hypothetical (but at the time possible) scenarios, </w:t>
      </w:r>
      <w:r w:rsidR="00F47558" w:rsidRPr="00012C98">
        <w:t xml:space="preserve">in which </w:t>
      </w:r>
      <w:r w:rsidR="00AD6D07" w:rsidRPr="00012C98">
        <w:t xml:space="preserve">WOAH </w:t>
      </w:r>
      <w:r w:rsidR="00DF2F22" w:rsidRPr="00012C98">
        <w:t>made</w:t>
      </w:r>
      <w:r w:rsidR="00AD6D07" w:rsidRPr="00012C98">
        <w:t xml:space="preserve"> negative determinations</w:t>
      </w:r>
      <w:r w:rsidR="00AD6D07" w:rsidRPr="003D408A">
        <w:t xml:space="preserve"> on Australia’s BSE </w:t>
      </w:r>
      <w:r w:rsidR="00AD6D07">
        <w:t>control</w:t>
      </w:r>
      <w:r w:rsidR="00AD6D07" w:rsidRPr="003D408A">
        <w:t xml:space="preserve"> systems or status</w:t>
      </w:r>
      <w:r w:rsidRPr="00064BA7">
        <w:t xml:space="preserve">. </w:t>
      </w:r>
    </w:p>
    <w:p w14:paraId="70B47894" w14:textId="42B54D04" w:rsidR="00AD6D07" w:rsidRDefault="00AD6D07" w:rsidP="002E5846">
      <w:pPr>
        <w:pStyle w:val="Heading3"/>
        <w:rPr>
          <w:rFonts w:eastAsia="Cambria"/>
        </w:rPr>
      </w:pPr>
      <w:bookmarkStart w:id="28" w:name="_Toc36474711"/>
      <w:bookmarkStart w:id="29" w:name="_Hlk174369784"/>
      <w:r>
        <w:rPr>
          <w:rFonts w:eastAsia="Cambria"/>
        </w:rPr>
        <w:t>Interviews with stakeholders</w:t>
      </w:r>
      <w:bookmarkEnd w:id="28"/>
    </w:p>
    <w:p w14:paraId="5682C405" w14:textId="0C989919" w:rsidR="00AD6D07" w:rsidRDefault="00AD6D07" w:rsidP="00AD6D07">
      <w:r w:rsidRPr="001B1278">
        <w:t xml:space="preserve">Individuals involved with </w:t>
      </w:r>
      <w:r w:rsidR="00E46FE2">
        <w:t xml:space="preserve">the </w:t>
      </w:r>
      <w:r w:rsidR="00B148A1" w:rsidRPr="001B1278">
        <w:t>BSE standard setting process</w:t>
      </w:r>
      <w:r w:rsidRPr="001B1278">
        <w:t xml:space="preserve"> are an important source of </w:t>
      </w:r>
      <w:r w:rsidR="002D6A99">
        <w:t xml:space="preserve">information </w:t>
      </w:r>
      <w:r w:rsidR="001B1278">
        <w:t xml:space="preserve">related </w:t>
      </w:r>
      <w:r w:rsidR="001B1278" w:rsidRPr="00D14BFB">
        <w:t xml:space="preserve">to </w:t>
      </w:r>
      <w:r w:rsidR="00D14BFB" w:rsidRPr="00D14BFB">
        <w:t xml:space="preserve">the influence of </w:t>
      </w:r>
      <w:r w:rsidR="005D32FC" w:rsidRPr="00B2421F">
        <w:t xml:space="preserve">Australia </w:t>
      </w:r>
      <w:r w:rsidR="001A38BF" w:rsidRPr="00B2421F">
        <w:t>in</w:t>
      </w:r>
      <w:r w:rsidR="001A38BF">
        <w:t xml:space="preserve"> </w:t>
      </w:r>
      <w:r w:rsidR="005D32FC">
        <w:t xml:space="preserve">WOAH’s </w:t>
      </w:r>
      <w:r w:rsidR="00D14BFB" w:rsidRPr="00D14BFB">
        <w:t>international standard setting</w:t>
      </w:r>
      <w:r w:rsidR="005D32FC">
        <w:t xml:space="preserve"> process</w:t>
      </w:r>
      <w:r w:rsidRPr="00D14BFB">
        <w:t>.</w:t>
      </w:r>
      <w:r w:rsidRPr="001B1278">
        <w:t xml:space="preserve"> Relevant </w:t>
      </w:r>
      <w:r w:rsidR="00B60063">
        <w:t xml:space="preserve">national and international </w:t>
      </w:r>
      <w:r w:rsidRPr="001B1278">
        <w:t xml:space="preserve">stakeholders in the current context include: </w:t>
      </w:r>
      <w:r w:rsidR="00B148A1" w:rsidRPr="001B1278">
        <w:t xml:space="preserve">Australia’s </w:t>
      </w:r>
      <w:r w:rsidR="005D32FC">
        <w:t xml:space="preserve">former </w:t>
      </w:r>
      <w:r w:rsidR="00B148A1" w:rsidRPr="001B1278">
        <w:t xml:space="preserve">Chief Veterinary </w:t>
      </w:r>
      <w:r w:rsidR="00F72365" w:rsidRPr="001B1278">
        <w:t xml:space="preserve">Officer </w:t>
      </w:r>
      <w:r w:rsidR="00AC1476">
        <w:t xml:space="preserve">(CVO) </w:t>
      </w:r>
      <w:r w:rsidR="001B1278">
        <w:t>and</w:t>
      </w:r>
      <w:r w:rsidR="00F72365" w:rsidRPr="001B1278">
        <w:t xml:space="preserve"> past President of WOAH;</w:t>
      </w:r>
      <w:r w:rsidR="00B148A1" w:rsidRPr="001B1278">
        <w:t xml:space="preserve"> staff from the department’s </w:t>
      </w:r>
      <w:r w:rsidR="00B22816">
        <w:t xml:space="preserve">Office of the </w:t>
      </w:r>
      <w:r w:rsidR="00B148A1" w:rsidRPr="001B1278">
        <w:t>Chief Veterinary Office</w:t>
      </w:r>
      <w:r w:rsidR="00B22816">
        <w:t>r</w:t>
      </w:r>
      <w:r w:rsidR="00F72365" w:rsidRPr="001B1278">
        <w:t xml:space="preserve">; </w:t>
      </w:r>
      <w:r w:rsidR="00D14BFB">
        <w:t xml:space="preserve">a </w:t>
      </w:r>
      <w:r w:rsidR="00F72365" w:rsidRPr="001B1278">
        <w:t xml:space="preserve">member of </w:t>
      </w:r>
      <w:r w:rsidR="001B1278" w:rsidRPr="001B1278">
        <w:t>WOAH’s</w:t>
      </w:r>
      <w:r w:rsidR="00F72365" w:rsidRPr="001B1278">
        <w:t xml:space="preserve"> Scientific Commission for Animal Disease</w:t>
      </w:r>
      <w:r w:rsidR="001B1278" w:rsidRPr="001B1278">
        <w:t>s</w:t>
      </w:r>
      <w:r w:rsidR="00AB3B65">
        <w:t xml:space="preserve"> (SCAD)</w:t>
      </w:r>
      <w:r w:rsidR="00E675F0">
        <w:t xml:space="preserve"> </w:t>
      </w:r>
      <w:r w:rsidR="00D40494">
        <w:t xml:space="preserve">and former employee of the </w:t>
      </w:r>
      <w:r w:rsidR="00AB3B65">
        <w:t>Australian Centre for Disease Preparedness</w:t>
      </w:r>
      <w:r w:rsidR="001B1278" w:rsidRPr="001B1278">
        <w:t xml:space="preserve">, </w:t>
      </w:r>
      <w:r w:rsidR="001B1278">
        <w:t>and staff of</w:t>
      </w:r>
      <w:r w:rsidR="001B1278" w:rsidRPr="001B1278">
        <w:t xml:space="preserve"> Australian</w:t>
      </w:r>
      <w:r w:rsidR="001B1278">
        <w:t xml:space="preserve"> </w:t>
      </w:r>
      <w:r w:rsidR="001B1278" w:rsidRPr="001B1278">
        <w:t xml:space="preserve">and international rendering </w:t>
      </w:r>
      <w:r w:rsidR="001B1278">
        <w:t>organisations</w:t>
      </w:r>
      <w:r w:rsidR="00D640B8">
        <w:t xml:space="preserve"> (Table 1)</w:t>
      </w:r>
      <w:r w:rsidRPr="001B1278">
        <w:t xml:space="preserve">. </w:t>
      </w:r>
    </w:p>
    <w:p w14:paraId="71A6D033" w14:textId="72314D59" w:rsidR="00AD6D07" w:rsidRDefault="00232B99" w:rsidP="00AD6D07">
      <w:r>
        <w:rPr>
          <w:noProof/>
        </w:rPr>
        <w:lastRenderedPageBreak/>
        <mc:AlternateContent>
          <mc:Choice Requires="wps">
            <w:drawing>
              <wp:anchor distT="45720" distB="45720" distL="114300" distR="114300" simplePos="0" relativeHeight="251664384" behindDoc="0" locked="0" layoutInCell="1" allowOverlap="1" wp14:anchorId="36C4FB00" wp14:editId="6E885009">
                <wp:simplePos x="0" y="0"/>
                <wp:positionH relativeFrom="margin">
                  <wp:align>center</wp:align>
                </wp:positionH>
                <wp:positionV relativeFrom="margin">
                  <wp:align>top</wp:align>
                </wp:positionV>
                <wp:extent cx="4886325" cy="1630680"/>
                <wp:effectExtent l="0" t="0" r="9525" b="7620"/>
                <wp:wrapSquare wrapText="bothSides"/>
                <wp:docPr id="12402253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1631290"/>
                        </a:xfrm>
                        <a:prstGeom prst="rect">
                          <a:avLst/>
                        </a:prstGeom>
                        <a:solidFill>
                          <a:srgbClr val="FFFFFF"/>
                        </a:solidFill>
                        <a:ln w="9525">
                          <a:noFill/>
                          <a:miter lim="800000"/>
                          <a:headEnd/>
                          <a:tailEnd/>
                        </a:ln>
                      </wps:spPr>
                      <wps:txbx>
                        <w:txbxContent>
                          <w:p w14:paraId="68F27865" w14:textId="4452E4A4" w:rsidR="00B02068" w:rsidRDefault="00B02068" w:rsidP="00B02068">
                            <w:pPr>
                              <w:pStyle w:val="Caption"/>
                            </w:pPr>
                            <w:bookmarkStart w:id="30" w:name="_Toc206083802"/>
                            <w:r>
                              <w:t xml:space="preserve">Table </w:t>
                            </w:r>
                            <w:r w:rsidR="00F64BE7">
                              <w:fldChar w:fldCharType="begin"/>
                            </w:r>
                            <w:r w:rsidR="00F64BE7">
                              <w:instrText xml:space="preserve"> SEQ Table \* ARABIC </w:instrText>
                            </w:r>
                            <w:r w:rsidR="00F64BE7">
                              <w:fldChar w:fldCharType="separate"/>
                            </w:r>
                            <w:r w:rsidR="003D357A">
                              <w:rPr>
                                <w:noProof/>
                              </w:rPr>
                              <w:t>1</w:t>
                            </w:r>
                            <w:r w:rsidR="00F64BE7">
                              <w:fldChar w:fldCharType="end"/>
                            </w:r>
                            <w:r>
                              <w:t xml:space="preserve">. </w:t>
                            </w:r>
                            <w:r w:rsidRPr="000246AB">
                              <w:t>Interviewees by organisation</w:t>
                            </w:r>
                            <w:bookmarkEnd w:id="30"/>
                          </w:p>
                          <w:tbl>
                            <w:tblPr>
                              <w:tblStyle w:val="TableGrid"/>
                              <w:tblW w:w="0" w:type="auto"/>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Look w:val="04A0" w:firstRow="1" w:lastRow="0" w:firstColumn="1" w:lastColumn="0" w:noHBand="0" w:noVBand="1"/>
                            </w:tblPr>
                            <w:tblGrid>
                              <w:gridCol w:w="6091"/>
                              <w:gridCol w:w="965"/>
                            </w:tblGrid>
                            <w:tr w:rsidR="00B02068" w:rsidRPr="00EA52BC" w14:paraId="3971E3D8" w14:textId="77777777" w:rsidTr="00135AEA">
                              <w:tc>
                                <w:tcPr>
                                  <w:tcW w:w="6091" w:type="dxa"/>
                                  <w:tcBorders>
                                    <w:top w:val="single" w:sz="8" w:space="0" w:color="auto"/>
                                    <w:bottom w:val="single" w:sz="8" w:space="0" w:color="auto"/>
                                  </w:tcBorders>
                                  <w:shd w:val="clear" w:color="auto" w:fill="D9D9D9" w:themeFill="background1" w:themeFillShade="D9"/>
                                </w:tcPr>
                                <w:p w14:paraId="3901B3ED" w14:textId="77777777" w:rsidR="00B02068" w:rsidRPr="00EA52BC" w:rsidRDefault="00B02068" w:rsidP="00B02068">
                                  <w:pPr>
                                    <w:spacing w:before="0" w:after="0"/>
                                    <w:jc w:val="left"/>
                                    <w:rPr>
                                      <w:b/>
                                      <w:sz w:val="20"/>
                                      <w:szCs w:val="20"/>
                                      <w:highlight w:val="lightGray"/>
                                    </w:rPr>
                                  </w:pPr>
                                  <w:bookmarkStart w:id="31" w:name="_Hlk175218741"/>
                                  <w:r w:rsidRPr="00EA52BC">
                                    <w:rPr>
                                      <w:b/>
                                      <w:sz w:val="20"/>
                                      <w:szCs w:val="20"/>
                                      <w:highlight w:val="lightGray"/>
                                    </w:rPr>
                                    <w:t>Organisation</w:t>
                                  </w:r>
                                </w:p>
                              </w:tc>
                              <w:tc>
                                <w:tcPr>
                                  <w:tcW w:w="965" w:type="dxa"/>
                                  <w:tcBorders>
                                    <w:top w:val="single" w:sz="8" w:space="0" w:color="auto"/>
                                    <w:bottom w:val="single" w:sz="8" w:space="0" w:color="auto"/>
                                  </w:tcBorders>
                                  <w:shd w:val="clear" w:color="auto" w:fill="D9D9D9" w:themeFill="background1" w:themeFillShade="D9"/>
                                </w:tcPr>
                                <w:p w14:paraId="116060E5" w14:textId="77777777" w:rsidR="00B02068" w:rsidRPr="00EA52BC" w:rsidRDefault="00B02068" w:rsidP="00B02068">
                                  <w:pPr>
                                    <w:spacing w:before="0" w:after="0"/>
                                    <w:jc w:val="center"/>
                                    <w:rPr>
                                      <w:b/>
                                      <w:sz w:val="20"/>
                                      <w:szCs w:val="20"/>
                                      <w:highlight w:val="lightGray"/>
                                    </w:rPr>
                                  </w:pPr>
                                  <w:r w:rsidRPr="00EA52BC">
                                    <w:rPr>
                                      <w:b/>
                                      <w:sz w:val="20"/>
                                      <w:szCs w:val="20"/>
                                      <w:highlight w:val="lightGray"/>
                                    </w:rPr>
                                    <w:t>Number</w:t>
                                  </w:r>
                                </w:p>
                              </w:tc>
                            </w:tr>
                            <w:tr w:rsidR="00B02068" w:rsidRPr="00EA52BC" w14:paraId="48B5D8B6" w14:textId="77777777" w:rsidTr="00135AEA">
                              <w:tc>
                                <w:tcPr>
                                  <w:tcW w:w="6091" w:type="dxa"/>
                                  <w:tcBorders>
                                    <w:top w:val="single" w:sz="8" w:space="0" w:color="auto"/>
                                  </w:tcBorders>
                                </w:tcPr>
                                <w:p w14:paraId="613EA737" w14:textId="77777777" w:rsidR="00B02068" w:rsidRPr="00EA52BC" w:rsidRDefault="00B02068" w:rsidP="00B02068">
                                  <w:pPr>
                                    <w:spacing w:before="0" w:after="0"/>
                                    <w:jc w:val="left"/>
                                    <w:rPr>
                                      <w:sz w:val="20"/>
                                      <w:szCs w:val="20"/>
                                    </w:rPr>
                                  </w:pPr>
                                  <w:r w:rsidRPr="00EA52BC">
                                    <w:rPr>
                                      <w:sz w:val="20"/>
                                      <w:szCs w:val="20"/>
                                    </w:rPr>
                                    <w:t>Department of Agriculture, Fisheries and Forestry</w:t>
                                  </w:r>
                                </w:p>
                              </w:tc>
                              <w:tc>
                                <w:tcPr>
                                  <w:tcW w:w="965" w:type="dxa"/>
                                  <w:tcBorders>
                                    <w:top w:val="single" w:sz="8" w:space="0" w:color="auto"/>
                                  </w:tcBorders>
                                </w:tcPr>
                                <w:p w14:paraId="3BA1C957" w14:textId="77777777" w:rsidR="00B02068" w:rsidRPr="00EA52BC" w:rsidRDefault="00B02068" w:rsidP="00B02068">
                                  <w:pPr>
                                    <w:spacing w:before="0" w:after="0"/>
                                    <w:jc w:val="center"/>
                                    <w:rPr>
                                      <w:sz w:val="20"/>
                                      <w:szCs w:val="20"/>
                                    </w:rPr>
                                  </w:pPr>
                                  <w:r w:rsidRPr="00EA52BC">
                                    <w:rPr>
                                      <w:sz w:val="20"/>
                                      <w:szCs w:val="20"/>
                                    </w:rPr>
                                    <w:t>3</w:t>
                                  </w:r>
                                </w:p>
                              </w:tc>
                            </w:tr>
                            <w:tr w:rsidR="00B02068" w:rsidRPr="00EA52BC" w14:paraId="18B00B40" w14:textId="77777777" w:rsidTr="00135AEA">
                              <w:tc>
                                <w:tcPr>
                                  <w:tcW w:w="6091" w:type="dxa"/>
                                </w:tcPr>
                                <w:p w14:paraId="03478A40" w14:textId="77777777" w:rsidR="00B02068" w:rsidRPr="00EA52BC" w:rsidRDefault="00B02068" w:rsidP="00B02068">
                                  <w:pPr>
                                    <w:spacing w:before="0" w:after="0"/>
                                    <w:jc w:val="left"/>
                                    <w:rPr>
                                      <w:sz w:val="20"/>
                                      <w:szCs w:val="20"/>
                                    </w:rPr>
                                  </w:pPr>
                                  <w:r w:rsidRPr="00EA52BC">
                                    <w:rPr>
                                      <w:sz w:val="20"/>
                                      <w:szCs w:val="20"/>
                                    </w:rPr>
                                    <w:t>Australian Centre for Disease Preparedness/WOAH SCAD</w:t>
                                  </w:r>
                                </w:p>
                              </w:tc>
                              <w:tc>
                                <w:tcPr>
                                  <w:tcW w:w="965" w:type="dxa"/>
                                </w:tcPr>
                                <w:p w14:paraId="6A8F5B57" w14:textId="77777777" w:rsidR="00B02068" w:rsidRPr="00EA52BC" w:rsidRDefault="00B02068" w:rsidP="00B02068">
                                  <w:pPr>
                                    <w:spacing w:before="0" w:after="0"/>
                                    <w:jc w:val="center"/>
                                    <w:rPr>
                                      <w:sz w:val="20"/>
                                      <w:szCs w:val="20"/>
                                    </w:rPr>
                                  </w:pPr>
                                  <w:r w:rsidRPr="00EA52BC">
                                    <w:rPr>
                                      <w:sz w:val="20"/>
                                      <w:szCs w:val="20"/>
                                    </w:rPr>
                                    <w:t>1</w:t>
                                  </w:r>
                                </w:p>
                              </w:tc>
                            </w:tr>
                            <w:tr w:rsidR="00B02068" w:rsidRPr="00EA52BC" w14:paraId="7518B760" w14:textId="77777777" w:rsidTr="00135AEA">
                              <w:tc>
                                <w:tcPr>
                                  <w:tcW w:w="6091" w:type="dxa"/>
                                  <w:tcBorders>
                                    <w:bottom w:val="single" w:sz="8" w:space="0" w:color="auto"/>
                                  </w:tcBorders>
                                </w:tcPr>
                                <w:p w14:paraId="34AC5D48" w14:textId="77777777" w:rsidR="00B02068" w:rsidRPr="00EA52BC" w:rsidRDefault="00B02068" w:rsidP="00B02068">
                                  <w:pPr>
                                    <w:spacing w:before="0" w:after="0"/>
                                    <w:jc w:val="left"/>
                                    <w:rPr>
                                      <w:sz w:val="20"/>
                                      <w:szCs w:val="20"/>
                                    </w:rPr>
                                  </w:pPr>
                                  <w:r w:rsidRPr="00EA52BC">
                                    <w:rPr>
                                      <w:sz w:val="20"/>
                                      <w:szCs w:val="20"/>
                                    </w:rPr>
                                    <w:t>Industry (World Renderers Organization, Australian Renderers Association, Australian Meat Industry Council)</w:t>
                                  </w:r>
                                </w:p>
                              </w:tc>
                              <w:tc>
                                <w:tcPr>
                                  <w:tcW w:w="965" w:type="dxa"/>
                                  <w:tcBorders>
                                    <w:bottom w:val="single" w:sz="8" w:space="0" w:color="auto"/>
                                  </w:tcBorders>
                                </w:tcPr>
                                <w:p w14:paraId="5383747D" w14:textId="77777777" w:rsidR="00B02068" w:rsidRPr="00EA52BC" w:rsidRDefault="00B02068" w:rsidP="00B02068">
                                  <w:pPr>
                                    <w:spacing w:before="0" w:after="0"/>
                                    <w:jc w:val="center"/>
                                    <w:rPr>
                                      <w:sz w:val="20"/>
                                      <w:szCs w:val="20"/>
                                    </w:rPr>
                                  </w:pPr>
                                  <w:r w:rsidRPr="00EA52BC">
                                    <w:rPr>
                                      <w:sz w:val="20"/>
                                      <w:szCs w:val="20"/>
                                    </w:rPr>
                                    <w:t>3</w:t>
                                  </w:r>
                                </w:p>
                              </w:tc>
                            </w:tr>
                            <w:tr w:rsidR="00B02068" w:rsidRPr="00EA52BC" w14:paraId="4DB1E4A7" w14:textId="77777777" w:rsidTr="00135AEA">
                              <w:tc>
                                <w:tcPr>
                                  <w:tcW w:w="6091" w:type="dxa"/>
                                  <w:tcBorders>
                                    <w:top w:val="single" w:sz="8" w:space="0" w:color="auto"/>
                                    <w:bottom w:val="single" w:sz="8" w:space="0" w:color="auto"/>
                                  </w:tcBorders>
                                </w:tcPr>
                                <w:p w14:paraId="503FC128" w14:textId="77777777" w:rsidR="00B02068" w:rsidRPr="00EA52BC" w:rsidRDefault="00B02068" w:rsidP="00B02068">
                                  <w:pPr>
                                    <w:spacing w:before="0" w:after="0"/>
                                    <w:jc w:val="left"/>
                                    <w:rPr>
                                      <w:b/>
                                      <w:bCs/>
                                      <w:sz w:val="20"/>
                                      <w:szCs w:val="20"/>
                                    </w:rPr>
                                  </w:pPr>
                                  <w:r w:rsidRPr="00EA52BC">
                                    <w:rPr>
                                      <w:b/>
                                      <w:bCs/>
                                      <w:sz w:val="20"/>
                                      <w:szCs w:val="20"/>
                                    </w:rPr>
                                    <w:t>Total</w:t>
                                  </w:r>
                                </w:p>
                              </w:tc>
                              <w:tc>
                                <w:tcPr>
                                  <w:tcW w:w="965" w:type="dxa"/>
                                  <w:tcBorders>
                                    <w:top w:val="single" w:sz="8" w:space="0" w:color="auto"/>
                                    <w:bottom w:val="single" w:sz="8" w:space="0" w:color="auto"/>
                                  </w:tcBorders>
                                </w:tcPr>
                                <w:p w14:paraId="38E1E8EF" w14:textId="77777777" w:rsidR="00B02068" w:rsidRPr="00EA52BC" w:rsidRDefault="00B02068" w:rsidP="00B02068">
                                  <w:pPr>
                                    <w:spacing w:before="0" w:after="0"/>
                                    <w:jc w:val="center"/>
                                    <w:rPr>
                                      <w:b/>
                                      <w:bCs/>
                                      <w:sz w:val="20"/>
                                      <w:szCs w:val="20"/>
                                    </w:rPr>
                                  </w:pPr>
                                  <w:r w:rsidRPr="00EA52BC">
                                    <w:rPr>
                                      <w:b/>
                                      <w:bCs/>
                                      <w:sz w:val="20"/>
                                      <w:szCs w:val="20"/>
                                    </w:rPr>
                                    <w:t>7</w:t>
                                  </w:r>
                                </w:p>
                              </w:tc>
                            </w:tr>
                            <w:bookmarkEnd w:id="31"/>
                          </w:tbl>
                          <w:p w14:paraId="3133AAE7" w14:textId="755FD11B" w:rsidR="00B02068" w:rsidRDefault="00B02068" w:rsidP="00B020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C4FB00" id="_x0000_t202" coordsize="21600,21600" o:spt="202" path="m,l,21600r21600,l21600,xe">
                <v:stroke joinstyle="miter"/>
                <v:path gradientshapeok="t" o:connecttype="rect"/>
              </v:shapetype>
              <v:shape id="_x0000_s1026" type="#_x0000_t202" style="position:absolute;left:0;text-align:left;margin-left:0;margin-top:0;width:384.75pt;height:128.4pt;z-index:251664384;visibility:visible;mso-wrap-style:square;mso-width-percent:0;mso-height-percent:0;mso-wrap-distance-left:9pt;mso-wrap-distance-top:3.6pt;mso-wrap-distance-right:9pt;mso-wrap-distance-bottom:3.6pt;mso-position-horizontal:center;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" stroked="f">
                <v:textbox>
                  <w:txbxContent>
                    <w:p w14:paraId="68F27865" w14:textId="4452E4A4" w:rsidR="00B02068" w:rsidRDefault="00B02068" w:rsidP="00B02068">
                      <w:pPr>
                        <w:pStyle w:val="Caption"/>
                      </w:pPr>
                      <w:bookmarkStart w:id="32" w:name="_Toc206083802"/>
                      <w:r>
                        <w:t xml:space="preserve">Table </w:t>
                      </w:r>
                      <w:r w:rsidR="00F64BE7">
                        <w:fldChar w:fldCharType="begin"/>
                      </w:r>
                      <w:r w:rsidR="00F64BE7">
                        <w:instrText xml:space="preserve"> SEQ Table \* ARABIC </w:instrText>
                      </w:r>
                      <w:r w:rsidR="00F64BE7">
                        <w:fldChar w:fldCharType="separate"/>
                      </w:r>
                      <w:r w:rsidR="003D357A">
                        <w:rPr>
                          <w:noProof/>
                        </w:rPr>
                        <w:t>1</w:t>
                      </w:r>
                      <w:r w:rsidR="00F64BE7">
                        <w:fldChar w:fldCharType="end"/>
                      </w:r>
                      <w:r>
                        <w:t xml:space="preserve">. </w:t>
                      </w:r>
                      <w:r w:rsidRPr="000246AB">
                        <w:t>Interviewees by organisation</w:t>
                      </w:r>
                      <w:bookmarkEnd w:id="32"/>
                    </w:p>
                    <w:tbl>
                      <w:tblPr>
                        <w:tblStyle w:val="TableGrid"/>
                        <w:tblW w:w="0" w:type="auto"/>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Look w:val="04A0" w:firstRow="1" w:lastRow="0" w:firstColumn="1" w:lastColumn="0" w:noHBand="0" w:noVBand="1"/>
                      </w:tblPr>
                      <w:tblGrid>
                        <w:gridCol w:w="6091"/>
                        <w:gridCol w:w="965"/>
                      </w:tblGrid>
                      <w:tr w:rsidR="00B02068" w:rsidRPr="00EA52BC" w14:paraId="3971E3D8" w14:textId="77777777" w:rsidTr="00135AEA">
                        <w:tc>
                          <w:tcPr>
                            <w:tcW w:w="6091" w:type="dxa"/>
                            <w:tcBorders>
                              <w:top w:val="single" w:sz="8" w:space="0" w:color="auto"/>
                              <w:bottom w:val="single" w:sz="8" w:space="0" w:color="auto"/>
                            </w:tcBorders>
                            <w:shd w:val="clear" w:color="auto" w:fill="D9D9D9" w:themeFill="background1" w:themeFillShade="D9"/>
                          </w:tcPr>
                          <w:p w14:paraId="3901B3ED" w14:textId="77777777" w:rsidR="00B02068" w:rsidRPr="00EA52BC" w:rsidRDefault="00B02068" w:rsidP="00B02068">
                            <w:pPr>
                              <w:spacing w:before="0" w:after="0"/>
                              <w:jc w:val="left"/>
                              <w:rPr>
                                <w:b/>
                                <w:sz w:val="20"/>
                                <w:szCs w:val="20"/>
                                <w:highlight w:val="lightGray"/>
                              </w:rPr>
                            </w:pPr>
                            <w:bookmarkStart w:id="33" w:name="_Hlk175218741"/>
                            <w:r w:rsidRPr="00EA52BC">
                              <w:rPr>
                                <w:b/>
                                <w:sz w:val="20"/>
                                <w:szCs w:val="20"/>
                                <w:highlight w:val="lightGray"/>
                              </w:rPr>
                              <w:t>Organisation</w:t>
                            </w:r>
                          </w:p>
                        </w:tc>
                        <w:tc>
                          <w:tcPr>
                            <w:tcW w:w="965" w:type="dxa"/>
                            <w:tcBorders>
                              <w:top w:val="single" w:sz="8" w:space="0" w:color="auto"/>
                              <w:bottom w:val="single" w:sz="8" w:space="0" w:color="auto"/>
                            </w:tcBorders>
                            <w:shd w:val="clear" w:color="auto" w:fill="D9D9D9" w:themeFill="background1" w:themeFillShade="D9"/>
                          </w:tcPr>
                          <w:p w14:paraId="116060E5" w14:textId="77777777" w:rsidR="00B02068" w:rsidRPr="00EA52BC" w:rsidRDefault="00B02068" w:rsidP="00B02068">
                            <w:pPr>
                              <w:spacing w:before="0" w:after="0"/>
                              <w:jc w:val="center"/>
                              <w:rPr>
                                <w:b/>
                                <w:sz w:val="20"/>
                                <w:szCs w:val="20"/>
                                <w:highlight w:val="lightGray"/>
                              </w:rPr>
                            </w:pPr>
                            <w:r w:rsidRPr="00EA52BC">
                              <w:rPr>
                                <w:b/>
                                <w:sz w:val="20"/>
                                <w:szCs w:val="20"/>
                                <w:highlight w:val="lightGray"/>
                              </w:rPr>
                              <w:t>Number</w:t>
                            </w:r>
                          </w:p>
                        </w:tc>
                      </w:tr>
                      <w:tr w:rsidR="00B02068" w:rsidRPr="00EA52BC" w14:paraId="48B5D8B6" w14:textId="77777777" w:rsidTr="00135AEA">
                        <w:tc>
                          <w:tcPr>
                            <w:tcW w:w="6091" w:type="dxa"/>
                            <w:tcBorders>
                              <w:top w:val="single" w:sz="8" w:space="0" w:color="auto"/>
                            </w:tcBorders>
                          </w:tcPr>
                          <w:p w14:paraId="613EA737" w14:textId="77777777" w:rsidR="00B02068" w:rsidRPr="00EA52BC" w:rsidRDefault="00B02068" w:rsidP="00B02068">
                            <w:pPr>
                              <w:spacing w:before="0" w:after="0"/>
                              <w:jc w:val="left"/>
                              <w:rPr>
                                <w:sz w:val="20"/>
                                <w:szCs w:val="20"/>
                              </w:rPr>
                            </w:pPr>
                            <w:r w:rsidRPr="00EA52BC">
                              <w:rPr>
                                <w:sz w:val="20"/>
                                <w:szCs w:val="20"/>
                              </w:rPr>
                              <w:t>Department of Agriculture, Fisheries and Forestry</w:t>
                            </w:r>
                          </w:p>
                        </w:tc>
                        <w:tc>
                          <w:tcPr>
                            <w:tcW w:w="965" w:type="dxa"/>
                            <w:tcBorders>
                              <w:top w:val="single" w:sz="8" w:space="0" w:color="auto"/>
                            </w:tcBorders>
                          </w:tcPr>
                          <w:p w14:paraId="3BA1C957" w14:textId="77777777" w:rsidR="00B02068" w:rsidRPr="00EA52BC" w:rsidRDefault="00B02068" w:rsidP="00B02068">
                            <w:pPr>
                              <w:spacing w:before="0" w:after="0"/>
                              <w:jc w:val="center"/>
                              <w:rPr>
                                <w:sz w:val="20"/>
                                <w:szCs w:val="20"/>
                              </w:rPr>
                            </w:pPr>
                            <w:r w:rsidRPr="00EA52BC">
                              <w:rPr>
                                <w:sz w:val="20"/>
                                <w:szCs w:val="20"/>
                              </w:rPr>
                              <w:t>3</w:t>
                            </w:r>
                          </w:p>
                        </w:tc>
                      </w:tr>
                      <w:tr w:rsidR="00B02068" w:rsidRPr="00EA52BC" w14:paraId="18B00B40" w14:textId="77777777" w:rsidTr="00135AEA">
                        <w:tc>
                          <w:tcPr>
                            <w:tcW w:w="6091" w:type="dxa"/>
                          </w:tcPr>
                          <w:p w14:paraId="03478A40" w14:textId="77777777" w:rsidR="00B02068" w:rsidRPr="00EA52BC" w:rsidRDefault="00B02068" w:rsidP="00B02068">
                            <w:pPr>
                              <w:spacing w:before="0" w:after="0"/>
                              <w:jc w:val="left"/>
                              <w:rPr>
                                <w:sz w:val="20"/>
                                <w:szCs w:val="20"/>
                              </w:rPr>
                            </w:pPr>
                            <w:r w:rsidRPr="00EA52BC">
                              <w:rPr>
                                <w:sz w:val="20"/>
                                <w:szCs w:val="20"/>
                              </w:rPr>
                              <w:t>Australian Centre for Disease Preparedness/WOAH SCAD</w:t>
                            </w:r>
                          </w:p>
                        </w:tc>
                        <w:tc>
                          <w:tcPr>
                            <w:tcW w:w="965" w:type="dxa"/>
                          </w:tcPr>
                          <w:p w14:paraId="6A8F5B57" w14:textId="77777777" w:rsidR="00B02068" w:rsidRPr="00EA52BC" w:rsidRDefault="00B02068" w:rsidP="00B02068">
                            <w:pPr>
                              <w:spacing w:before="0" w:after="0"/>
                              <w:jc w:val="center"/>
                              <w:rPr>
                                <w:sz w:val="20"/>
                                <w:szCs w:val="20"/>
                              </w:rPr>
                            </w:pPr>
                            <w:r w:rsidRPr="00EA52BC">
                              <w:rPr>
                                <w:sz w:val="20"/>
                                <w:szCs w:val="20"/>
                              </w:rPr>
                              <w:t>1</w:t>
                            </w:r>
                          </w:p>
                        </w:tc>
                      </w:tr>
                      <w:tr w:rsidR="00B02068" w:rsidRPr="00EA52BC" w14:paraId="7518B760" w14:textId="77777777" w:rsidTr="00135AEA">
                        <w:tc>
                          <w:tcPr>
                            <w:tcW w:w="6091" w:type="dxa"/>
                            <w:tcBorders>
                              <w:bottom w:val="single" w:sz="8" w:space="0" w:color="auto"/>
                            </w:tcBorders>
                          </w:tcPr>
                          <w:p w14:paraId="34AC5D48" w14:textId="77777777" w:rsidR="00B02068" w:rsidRPr="00EA52BC" w:rsidRDefault="00B02068" w:rsidP="00B02068">
                            <w:pPr>
                              <w:spacing w:before="0" w:after="0"/>
                              <w:jc w:val="left"/>
                              <w:rPr>
                                <w:sz w:val="20"/>
                                <w:szCs w:val="20"/>
                              </w:rPr>
                            </w:pPr>
                            <w:r w:rsidRPr="00EA52BC">
                              <w:rPr>
                                <w:sz w:val="20"/>
                                <w:szCs w:val="20"/>
                              </w:rPr>
                              <w:t>Industry (World Renderers Organization, Australian Renderers Association, Australian Meat Industry Council)</w:t>
                            </w:r>
                          </w:p>
                        </w:tc>
                        <w:tc>
                          <w:tcPr>
                            <w:tcW w:w="965" w:type="dxa"/>
                            <w:tcBorders>
                              <w:bottom w:val="single" w:sz="8" w:space="0" w:color="auto"/>
                            </w:tcBorders>
                          </w:tcPr>
                          <w:p w14:paraId="5383747D" w14:textId="77777777" w:rsidR="00B02068" w:rsidRPr="00EA52BC" w:rsidRDefault="00B02068" w:rsidP="00B02068">
                            <w:pPr>
                              <w:spacing w:before="0" w:after="0"/>
                              <w:jc w:val="center"/>
                              <w:rPr>
                                <w:sz w:val="20"/>
                                <w:szCs w:val="20"/>
                              </w:rPr>
                            </w:pPr>
                            <w:r w:rsidRPr="00EA52BC">
                              <w:rPr>
                                <w:sz w:val="20"/>
                                <w:szCs w:val="20"/>
                              </w:rPr>
                              <w:t>3</w:t>
                            </w:r>
                          </w:p>
                        </w:tc>
                      </w:tr>
                      <w:tr w:rsidR="00B02068" w:rsidRPr="00EA52BC" w14:paraId="4DB1E4A7" w14:textId="77777777" w:rsidTr="00135AEA">
                        <w:tc>
                          <w:tcPr>
                            <w:tcW w:w="6091" w:type="dxa"/>
                            <w:tcBorders>
                              <w:top w:val="single" w:sz="8" w:space="0" w:color="auto"/>
                              <w:bottom w:val="single" w:sz="8" w:space="0" w:color="auto"/>
                            </w:tcBorders>
                          </w:tcPr>
                          <w:p w14:paraId="503FC128" w14:textId="77777777" w:rsidR="00B02068" w:rsidRPr="00EA52BC" w:rsidRDefault="00B02068" w:rsidP="00B02068">
                            <w:pPr>
                              <w:spacing w:before="0" w:after="0"/>
                              <w:jc w:val="left"/>
                              <w:rPr>
                                <w:b/>
                                <w:bCs/>
                                <w:sz w:val="20"/>
                                <w:szCs w:val="20"/>
                              </w:rPr>
                            </w:pPr>
                            <w:r w:rsidRPr="00EA52BC">
                              <w:rPr>
                                <w:b/>
                                <w:bCs/>
                                <w:sz w:val="20"/>
                                <w:szCs w:val="20"/>
                              </w:rPr>
                              <w:t>Total</w:t>
                            </w:r>
                          </w:p>
                        </w:tc>
                        <w:tc>
                          <w:tcPr>
                            <w:tcW w:w="965" w:type="dxa"/>
                            <w:tcBorders>
                              <w:top w:val="single" w:sz="8" w:space="0" w:color="auto"/>
                              <w:bottom w:val="single" w:sz="8" w:space="0" w:color="auto"/>
                            </w:tcBorders>
                          </w:tcPr>
                          <w:p w14:paraId="38E1E8EF" w14:textId="77777777" w:rsidR="00B02068" w:rsidRPr="00EA52BC" w:rsidRDefault="00B02068" w:rsidP="00B02068">
                            <w:pPr>
                              <w:spacing w:before="0" w:after="0"/>
                              <w:jc w:val="center"/>
                              <w:rPr>
                                <w:b/>
                                <w:bCs/>
                                <w:sz w:val="20"/>
                                <w:szCs w:val="20"/>
                              </w:rPr>
                            </w:pPr>
                            <w:r w:rsidRPr="00EA52BC">
                              <w:rPr>
                                <w:b/>
                                <w:bCs/>
                                <w:sz w:val="20"/>
                                <w:szCs w:val="20"/>
                              </w:rPr>
                              <w:t>7</w:t>
                            </w:r>
                          </w:p>
                        </w:tc>
                      </w:tr>
                      <w:bookmarkEnd w:id="33"/>
                    </w:tbl>
                    <w:p w14:paraId="3133AAE7" w14:textId="755FD11B" w:rsidR="00B02068" w:rsidRDefault="00B02068" w:rsidP="00B02068"/>
                  </w:txbxContent>
                </v:textbox>
                <w10:wrap type="square" anchorx="margin" anchory="margin"/>
              </v:shape>
            </w:pict>
          </mc:Fallback>
        </mc:AlternateContent>
      </w:r>
      <w:r w:rsidR="00AD6D07">
        <w:t xml:space="preserve">Semi-structured interviews were conducted with </w:t>
      </w:r>
      <w:r w:rsidR="00B52F27">
        <w:t xml:space="preserve">the </w:t>
      </w:r>
      <w:r w:rsidR="0076545E">
        <w:t xml:space="preserve">seven </w:t>
      </w:r>
      <w:r w:rsidR="00AD6D07">
        <w:t>Australian-</w:t>
      </w:r>
      <w:r w:rsidR="000B31D1">
        <w:t xml:space="preserve"> and international-</w:t>
      </w:r>
      <w:r w:rsidR="00AD6D07">
        <w:t>based stakeholders</w:t>
      </w:r>
      <w:r w:rsidR="001B1278">
        <w:rPr>
          <w:rStyle w:val="FootnoteReference"/>
        </w:rPr>
        <w:footnoteReference w:id="2"/>
      </w:r>
      <w:r w:rsidR="00AD6D07">
        <w:t xml:space="preserve"> to elicit an understanding of</w:t>
      </w:r>
      <w:r w:rsidR="00D0578D">
        <w:t>:</w:t>
      </w:r>
    </w:p>
    <w:p w14:paraId="2D90ABBE" w14:textId="1BE0E9A3" w:rsidR="007C5170" w:rsidRPr="00D10240" w:rsidRDefault="001B1278" w:rsidP="00CD0105">
      <w:pPr>
        <w:pStyle w:val="ListParagraph"/>
        <w:numPr>
          <w:ilvl w:val="0"/>
          <w:numId w:val="11"/>
        </w:numPr>
      </w:pPr>
      <w:r w:rsidRPr="00D10240">
        <w:t xml:space="preserve">the </w:t>
      </w:r>
      <w:r w:rsidR="00D24F83">
        <w:t xml:space="preserve">standards </w:t>
      </w:r>
      <w:r w:rsidRPr="00D10240">
        <w:t>negotiation process</w:t>
      </w:r>
    </w:p>
    <w:p w14:paraId="261C5068" w14:textId="43134235" w:rsidR="009B3565" w:rsidRPr="00D10240" w:rsidRDefault="00152AEC" w:rsidP="009B3565">
      <w:pPr>
        <w:pStyle w:val="ListParagraph"/>
        <w:numPr>
          <w:ilvl w:val="0"/>
          <w:numId w:val="10"/>
        </w:numPr>
      </w:pPr>
      <w:r>
        <w:t>t</w:t>
      </w:r>
      <w:r w:rsidR="009B3565">
        <w:t xml:space="preserve">he timeline and </w:t>
      </w:r>
      <w:r w:rsidR="009B3565" w:rsidRPr="00D10240">
        <w:t>specific engagement activities around the BSE standards (such as the scientific/feedback submissions and participation in voting)</w:t>
      </w:r>
    </w:p>
    <w:p w14:paraId="2745720F" w14:textId="77777777" w:rsidR="009B3565" w:rsidRPr="00D10240" w:rsidRDefault="009B3565" w:rsidP="009B3565">
      <w:pPr>
        <w:pStyle w:val="ListParagraph"/>
        <w:numPr>
          <w:ilvl w:val="0"/>
          <w:numId w:val="10"/>
        </w:numPr>
      </w:pPr>
      <w:r w:rsidRPr="00D10240">
        <w:t xml:space="preserve">external collaborative channels (WOAH regional meetings, direct engagement with other </w:t>
      </w:r>
      <w:r>
        <w:t>WOAH Members with voting rights</w:t>
      </w:r>
      <w:r w:rsidRPr="00D10240">
        <w:t>, additional correspondence with WOAH).</w:t>
      </w:r>
    </w:p>
    <w:p w14:paraId="51FE5C72" w14:textId="17E2F397" w:rsidR="007C5170" w:rsidRPr="00D10240" w:rsidRDefault="007C5170" w:rsidP="00CD0105">
      <w:pPr>
        <w:pStyle w:val="ListParagraph"/>
        <w:numPr>
          <w:ilvl w:val="0"/>
          <w:numId w:val="10"/>
        </w:numPr>
      </w:pPr>
      <w:r w:rsidRPr="00D10240">
        <w:t>the nuance around changes in language within key documents</w:t>
      </w:r>
    </w:p>
    <w:p w14:paraId="2C3BB161" w14:textId="770A03B9" w:rsidR="007C5170" w:rsidRPr="00D10240" w:rsidRDefault="00BA3B20" w:rsidP="00CD0105">
      <w:pPr>
        <w:pStyle w:val="ListParagraph"/>
        <w:numPr>
          <w:ilvl w:val="0"/>
          <w:numId w:val="10"/>
        </w:numPr>
      </w:pPr>
      <w:r w:rsidRPr="00BA3B20">
        <w:t>WOAH’s decision making around the science of BSE, standard setting processes, and status assessment</w:t>
      </w:r>
      <w:r w:rsidR="00EB067B">
        <w:t>.</w:t>
      </w:r>
    </w:p>
    <w:p w14:paraId="6AB84DE2" w14:textId="2855BEAE" w:rsidR="00EF0023" w:rsidRDefault="00EF0023" w:rsidP="00CD0105">
      <w:pPr>
        <w:pStyle w:val="ListParagraph"/>
        <w:numPr>
          <w:ilvl w:val="0"/>
          <w:numId w:val="10"/>
        </w:numPr>
      </w:pPr>
      <w:r>
        <w:t xml:space="preserve">high yield activities at the </w:t>
      </w:r>
      <w:r w:rsidR="00BA3B20">
        <w:t>time</w:t>
      </w:r>
      <w:r w:rsidR="00E7533A">
        <w:t>, particularly</w:t>
      </w:r>
      <w:r w:rsidR="00BA3B20">
        <w:t xml:space="preserve"> </w:t>
      </w:r>
      <w:r>
        <w:t>the ones likely to be universally beneficial for future engagement</w:t>
      </w:r>
      <w:r w:rsidR="007C5170">
        <w:t xml:space="preserve"> in other contexts</w:t>
      </w:r>
      <w:r>
        <w:t>.</w:t>
      </w:r>
    </w:p>
    <w:p w14:paraId="5D3F22E7" w14:textId="70091815" w:rsidR="00AD6D07" w:rsidRPr="00012C98" w:rsidRDefault="00AD6D07" w:rsidP="00AD6D07">
      <w:r>
        <w:t xml:space="preserve">Details of the interview process and insights gained from the interviews are given in </w:t>
      </w:r>
      <w:r w:rsidRPr="00012C98">
        <w:t xml:space="preserve">Chapter </w:t>
      </w:r>
      <w:r w:rsidR="00D14BFB" w:rsidRPr="00012C98">
        <w:t>4</w:t>
      </w:r>
      <w:r w:rsidRPr="00012C98">
        <w:t>.</w:t>
      </w:r>
      <w:r w:rsidR="00195814" w:rsidRPr="00012C98">
        <w:t xml:space="preserve"> The analysis </w:t>
      </w:r>
      <w:r w:rsidR="006B7EED" w:rsidRPr="00012C98">
        <w:t>of interviews was grounded in existing approaches to understanding</w:t>
      </w:r>
      <w:r w:rsidR="005B4380" w:rsidRPr="00012C98">
        <w:t xml:space="preserve"> ISS in the broader field of international relations scholarship.</w:t>
      </w:r>
    </w:p>
    <w:bookmarkEnd w:id="29"/>
    <w:p w14:paraId="00697D9D" w14:textId="0E3AC052" w:rsidR="00D10240" w:rsidRPr="00012C98" w:rsidRDefault="00D10240" w:rsidP="002E5846">
      <w:pPr>
        <w:pStyle w:val="Heading3"/>
      </w:pPr>
      <w:r w:rsidRPr="00012C98">
        <w:t>Quantitative analysis</w:t>
      </w:r>
    </w:p>
    <w:p w14:paraId="3A54B644" w14:textId="42842E9D" w:rsidR="00835A1E" w:rsidRDefault="00B90796" w:rsidP="008501FE">
      <w:pPr>
        <w:tabs>
          <w:tab w:val="left" w:pos="610"/>
        </w:tabs>
      </w:pPr>
      <w:r w:rsidRPr="00012C98">
        <w:t xml:space="preserve">During the standard revision process there was a real possibility that negative determinations </w:t>
      </w:r>
      <w:r w:rsidR="0086780B" w:rsidRPr="00012C98">
        <w:t xml:space="preserve">by WOAH </w:t>
      </w:r>
      <w:r w:rsidRPr="00012C98">
        <w:t xml:space="preserve">on Australia’s BSE control systems or status </w:t>
      </w:r>
      <w:r w:rsidR="0086780B" w:rsidRPr="00012C98">
        <w:t>c</w:t>
      </w:r>
      <w:r w:rsidRPr="00012C98">
        <w:t xml:space="preserve">ould occur, at a cost to the domestic beef </w:t>
      </w:r>
      <w:r w:rsidR="009C760F" w:rsidRPr="00012C98">
        <w:t xml:space="preserve">and rendering </w:t>
      </w:r>
      <w:r w:rsidRPr="00012C98">
        <w:t>industr</w:t>
      </w:r>
      <w:r w:rsidR="009C760F" w:rsidRPr="00012C98">
        <w:t>ies</w:t>
      </w:r>
      <w:r w:rsidRPr="00012C98">
        <w:t>—to</w:t>
      </w:r>
      <w:r w:rsidR="00AD6D07" w:rsidRPr="00012C98">
        <w:t xml:space="preserve"> production practices, input costs, export market access, and international reputation. The monetary value of damage to Australia’s reputation as a producer of high-quality and safe agricultural products</w:t>
      </w:r>
      <w:r w:rsidRPr="00012C98">
        <w:t xml:space="preserve"> could have resulted </w:t>
      </w:r>
      <w:r w:rsidR="00292B5B" w:rsidRPr="00012C98">
        <w:t xml:space="preserve">in lost market access and </w:t>
      </w:r>
      <w:r w:rsidR="00AD6D07" w:rsidRPr="00012C98">
        <w:t xml:space="preserve">many years of decreased market share. </w:t>
      </w:r>
      <w:r w:rsidRPr="00012C98">
        <w:t xml:space="preserve">A </w:t>
      </w:r>
      <w:r w:rsidR="00C2119B" w:rsidRPr="00012C98">
        <w:t xml:space="preserve">simple </w:t>
      </w:r>
      <w:r w:rsidRPr="00012C98">
        <w:t xml:space="preserve">quantitative analysis </w:t>
      </w:r>
      <w:r w:rsidR="00E7533A" w:rsidRPr="00012C98">
        <w:t>was</w:t>
      </w:r>
      <w:r w:rsidRPr="00012C98">
        <w:t xml:space="preserve"> performed on </w:t>
      </w:r>
      <w:r w:rsidR="002D7E4F" w:rsidRPr="00012C98">
        <w:t xml:space="preserve">the </w:t>
      </w:r>
      <w:r w:rsidRPr="00012C98">
        <w:t>four plausible negative outcomes</w:t>
      </w:r>
      <w:r w:rsidR="002D7E4F" w:rsidRPr="00012C98">
        <w:t xml:space="preserve"> described in Chapter 3</w:t>
      </w:r>
      <w:r w:rsidR="009A3521" w:rsidRPr="00012C98">
        <w:t>, with avoided losses calculated for each</w:t>
      </w:r>
      <w:r w:rsidRPr="00012C98">
        <w:t xml:space="preserve">. The quantitative analysis and key assumptions are detailed in Chapter </w:t>
      </w:r>
      <w:r w:rsidR="00CA68FD" w:rsidRPr="00012C98">
        <w:t>5</w:t>
      </w:r>
      <w:r w:rsidR="009A5B57" w:rsidRPr="00012C98">
        <w:t>.</w:t>
      </w:r>
      <w:r w:rsidR="00516ABF" w:rsidRPr="00012C98">
        <w:t xml:space="preserve"> </w:t>
      </w:r>
      <w:r w:rsidR="00BF38C9" w:rsidRPr="00012C98">
        <w:t>This estimation was based on a counterfactual history approach, in which we modelled what could plausibly have occurred had Australia’s engagement in the BSE standard-setting process not succeeded in maintaining its negligible risk status</w:t>
      </w:r>
      <w:r w:rsidR="00A57517" w:rsidRPr="00012C98">
        <w:t>.</w:t>
      </w:r>
    </w:p>
    <w:p w14:paraId="1FD2E5AC" w14:textId="41A359C6" w:rsidR="00A91983" w:rsidRPr="008501FE" w:rsidRDefault="00A91983" w:rsidP="008501FE">
      <w:pPr>
        <w:pStyle w:val="Heading2"/>
        <w:ind w:left="425" w:hanging="425"/>
        <w:rPr>
          <w:rFonts w:eastAsia="Cambria"/>
        </w:rPr>
      </w:pPr>
      <w:bookmarkStart w:id="34" w:name="_Toc206083783"/>
      <w:r w:rsidRPr="008501FE">
        <w:rPr>
          <w:rFonts w:eastAsia="Cambria"/>
        </w:rPr>
        <w:lastRenderedPageBreak/>
        <w:t>The Australian beef</w:t>
      </w:r>
      <w:r w:rsidR="00AF72BE">
        <w:rPr>
          <w:rFonts w:eastAsia="Cambria"/>
        </w:rPr>
        <w:t xml:space="preserve">, </w:t>
      </w:r>
      <w:r w:rsidR="00590DF9">
        <w:rPr>
          <w:rFonts w:eastAsia="Cambria"/>
        </w:rPr>
        <w:t>rendering</w:t>
      </w:r>
      <w:r w:rsidR="00AF72BE">
        <w:rPr>
          <w:rFonts w:eastAsia="Cambria"/>
        </w:rPr>
        <w:t xml:space="preserve">, and </w:t>
      </w:r>
      <w:r w:rsidR="00614AAF">
        <w:rPr>
          <w:rFonts w:eastAsia="Cambria"/>
        </w:rPr>
        <w:t>feed</w:t>
      </w:r>
      <w:r w:rsidR="00590DF9">
        <w:rPr>
          <w:rFonts w:eastAsia="Cambria"/>
        </w:rPr>
        <w:t xml:space="preserve"> </w:t>
      </w:r>
      <w:r w:rsidR="00614AAF">
        <w:rPr>
          <w:rFonts w:eastAsia="Cambria"/>
        </w:rPr>
        <w:t>sectors</w:t>
      </w:r>
      <w:bookmarkEnd w:id="34"/>
    </w:p>
    <w:p w14:paraId="1BEE5BF6" w14:textId="23705BF7" w:rsidR="004E2C5C" w:rsidRDefault="003C1B01" w:rsidP="008501FE">
      <w:pPr>
        <w:tabs>
          <w:tab w:val="left" w:pos="610"/>
        </w:tabs>
      </w:pPr>
      <w:r>
        <w:t xml:space="preserve">In 2023 the size of the Australian </w:t>
      </w:r>
      <w:r w:rsidR="00545515">
        <w:t xml:space="preserve">beef </w:t>
      </w:r>
      <w:r>
        <w:t xml:space="preserve">cattle herd was approximately </w:t>
      </w:r>
      <w:r w:rsidR="00DD79AD">
        <w:t>28</w:t>
      </w:r>
      <w:r>
        <w:t xml:space="preserve"> million head</w:t>
      </w:r>
      <w:r w:rsidR="005B6318">
        <w:t xml:space="preserve">, with almost half </w:t>
      </w:r>
      <w:r w:rsidR="00AF794C">
        <w:t>located</w:t>
      </w:r>
      <w:r w:rsidR="00C43DCB">
        <w:t xml:space="preserve"> in Queensland (</w:t>
      </w:r>
      <w:hyperlink r:id="rId24" w:history="1">
        <w:r w:rsidR="00C43DCB" w:rsidRPr="00BB10C0">
          <w:rPr>
            <w:rStyle w:val="Hyperlink"/>
          </w:rPr>
          <w:t>ABS</w:t>
        </w:r>
        <w:r w:rsidR="00AE20EB" w:rsidRPr="00BB10C0">
          <w:rPr>
            <w:rStyle w:val="Hyperlink"/>
          </w:rPr>
          <w:t xml:space="preserve"> 2024</w:t>
        </w:r>
      </w:hyperlink>
      <w:r w:rsidR="00AE20EB">
        <w:t>).</w:t>
      </w:r>
      <w:r>
        <w:t xml:space="preserve"> </w:t>
      </w:r>
      <w:r w:rsidR="00D70F70">
        <w:t>Approximately</w:t>
      </w:r>
      <w:r w:rsidR="00E83386">
        <w:t xml:space="preserve"> </w:t>
      </w:r>
      <w:r w:rsidR="004A4E2F">
        <w:t>7.7 million</w:t>
      </w:r>
      <w:r w:rsidR="00E83386">
        <w:t xml:space="preserve"> head </w:t>
      </w:r>
      <w:r w:rsidR="004A4E2F">
        <w:t xml:space="preserve">of cattle </w:t>
      </w:r>
      <w:r w:rsidR="00E83386">
        <w:t xml:space="preserve">were </w:t>
      </w:r>
      <w:r w:rsidR="00396269">
        <w:t>processed</w:t>
      </w:r>
      <w:r w:rsidR="00E83386">
        <w:t xml:space="preserve"> in 2023</w:t>
      </w:r>
      <w:r w:rsidR="00396269">
        <w:t>-24</w:t>
      </w:r>
      <w:r w:rsidR="004A4E2F">
        <w:t>, just above the 10-year average of 7.6 million head</w:t>
      </w:r>
      <w:r w:rsidR="000D7C4E">
        <w:t xml:space="preserve"> </w:t>
      </w:r>
      <w:r w:rsidR="00282B68">
        <w:t>(</w:t>
      </w:r>
      <w:hyperlink r:id="rId25" w:history="1">
        <w:r w:rsidR="00282B68" w:rsidRPr="00282B68">
          <w:rPr>
            <w:rStyle w:val="Hyperlink"/>
          </w:rPr>
          <w:t>MLA 2024</w:t>
        </w:r>
      </w:hyperlink>
      <w:r w:rsidR="00282B68">
        <w:t>)</w:t>
      </w:r>
      <w:r w:rsidR="00E83386">
        <w:t xml:space="preserve">, with </w:t>
      </w:r>
      <w:r w:rsidR="00156C97">
        <w:t>approximately</w:t>
      </w:r>
      <w:r w:rsidR="00376142">
        <w:t xml:space="preserve"> 70% of </w:t>
      </w:r>
      <w:r w:rsidR="009F3E7A">
        <w:t xml:space="preserve">production exported (MLA </w:t>
      </w:r>
      <w:r w:rsidR="00E34570">
        <w:t>2024)</w:t>
      </w:r>
      <w:r w:rsidR="00D70F70">
        <w:t>.</w:t>
      </w:r>
      <w:r w:rsidR="00E83386">
        <w:t xml:space="preserve"> </w:t>
      </w:r>
      <w:r w:rsidR="00A91983">
        <w:t xml:space="preserve">Australian exports beef and veal products are currently Australia’s second most valuable export of </w:t>
      </w:r>
      <w:r w:rsidR="00A91983" w:rsidRPr="00C33FC7">
        <w:t>agriculture, fisheries and forestry products</w:t>
      </w:r>
      <w:r w:rsidR="00A91983">
        <w:t xml:space="preserve">, amounting to </w:t>
      </w:r>
      <w:r w:rsidR="000B52AA">
        <w:t xml:space="preserve">almost </w:t>
      </w:r>
      <w:r w:rsidR="00960C62">
        <w:t>AUD 11</w:t>
      </w:r>
      <w:r w:rsidR="00A91983">
        <w:t xml:space="preserve"> b</w:t>
      </w:r>
      <w:r w:rsidR="00960C62">
        <w:t>illion</w:t>
      </w:r>
      <w:r w:rsidR="00A91983">
        <w:t xml:space="preserve"> in</w:t>
      </w:r>
      <w:r w:rsidR="00A91983" w:rsidRPr="00C33FC7">
        <w:t xml:space="preserve"> 2022–23 </w:t>
      </w:r>
      <w:r w:rsidR="00A91983">
        <w:t>(</w:t>
      </w:r>
      <w:hyperlink r:id="rId26" w:history="1">
        <w:r w:rsidR="00691C8E" w:rsidRPr="004E2C5C">
          <w:rPr>
            <w:rStyle w:val="Hyperlink"/>
          </w:rPr>
          <w:t>ABARES</w:t>
        </w:r>
        <w:r w:rsidR="00960C62" w:rsidRPr="004E2C5C">
          <w:rPr>
            <w:rStyle w:val="Hyperlink"/>
          </w:rPr>
          <w:t xml:space="preserve"> 2024</w:t>
        </w:r>
      </w:hyperlink>
      <w:r w:rsidR="00A91983">
        <w:t xml:space="preserve">). </w:t>
      </w:r>
      <w:r w:rsidR="004E2C5C">
        <w:t xml:space="preserve">Key export markets are </w:t>
      </w:r>
      <w:r w:rsidR="007870D2">
        <w:t>China, T</w:t>
      </w:r>
      <w:r w:rsidR="00E96F92">
        <w:t>he United States</w:t>
      </w:r>
      <w:r w:rsidR="007870D2">
        <w:t xml:space="preserve"> of America, Japan and Korea</w:t>
      </w:r>
      <w:r w:rsidR="004D1948">
        <w:t>.</w:t>
      </w:r>
    </w:p>
    <w:p w14:paraId="581FD691" w14:textId="339F84B8" w:rsidR="00134082" w:rsidRDefault="00A91983" w:rsidP="008501FE">
      <w:pPr>
        <w:tabs>
          <w:tab w:val="left" w:pos="610"/>
        </w:tabs>
      </w:pPr>
      <w:r>
        <w:t xml:space="preserve">Live cattle exports are </w:t>
      </w:r>
      <w:r w:rsidR="00960C62">
        <w:t xml:space="preserve">also </w:t>
      </w:r>
      <w:r>
        <w:t xml:space="preserve">an important source of </w:t>
      </w:r>
      <w:r w:rsidR="00960C62">
        <w:t xml:space="preserve">export </w:t>
      </w:r>
      <w:r>
        <w:t>income</w:t>
      </w:r>
      <w:r w:rsidR="00960C62">
        <w:t>. I</w:t>
      </w:r>
      <w:r>
        <w:t>n 20</w:t>
      </w:r>
      <w:r w:rsidR="00960C62">
        <w:t>22-</w:t>
      </w:r>
      <w:r>
        <w:t>23</w:t>
      </w:r>
      <w:r w:rsidR="002F2ACE">
        <w:t>,</w:t>
      </w:r>
      <w:r>
        <w:t xml:space="preserve"> </w:t>
      </w:r>
      <w:r w:rsidR="00EA70A9">
        <w:t>485</w:t>
      </w:r>
      <w:r>
        <w:t>,000 head</w:t>
      </w:r>
      <w:r w:rsidR="00A539E9">
        <w:t xml:space="preserve"> of live cattle were exported,</w:t>
      </w:r>
      <w:r w:rsidR="000A0692">
        <w:t xml:space="preserve"> with a total value of </w:t>
      </w:r>
      <w:r w:rsidR="00806AF2">
        <w:t>AUD 791 million</w:t>
      </w:r>
      <w:r w:rsidR="009C7316">
        <w:t xml:space="preserve"> (ABARES 2024). There is</w:t>
      </w:r>
      <w:r>
        <w:t xml:space="preserve"> an expectation that </w:t>
      </w:r>
      <w:r w:rsidR="00614102">
        <w:t xml:space="preserve">export </w:t>
      </w:r>
      <w:r w:rsidR="006B202A">
        <w:t>numbers will ris</w:t>
      </w:r>
      <w:r w:rsidR="000F0985">
        <w:t>e</w:t>
      </w:r>
      <w:r w:rsidR="006B202A">
        <w:t xml:space="preserve"> </w:t>
      </w:r>
      <w:r>
        <w:t>significantly</w:t>
      </w:r>
      <w:r w:rsidR="000F0985">
        <w:t xml:space="preserve">, to </w:t>
      </w:r>
      <w:r w:rsidR="000A0692">
        <w:t xml:space="preserve">739,000 </w:t>
      </w:r>
      <w:r>
        <w:t xml:space="preserve">head in </w:t>
      </w:r>
      <w:r w:rsidR="000A0692">
        <w:t>2024-25</w:t>
      </w:r>
      <w:r w:rsidR="009C7316">
        <w:t xml:space="preserve">, </w:t>
      </w:r>
      <w:r w:rsidR="00861875">
        <w:t>with exports worth almost AUD 1 billion by 2024-25</w:t>
      </w:r>
      <w:r w:rsidR="000A0692">
        <w:t xml:space="preserve"> (ABARES </w:t>
      </w:r>
      <w:r>
        <w:t>2024</w:t>
      </w:r>
      <w:r w:rsidR="000A0692">
        <w:t>).</w:t>
      </w:r>
      <w:r>
        <w:t xml:space="preserve"> Key markets for live cattle </w:t>
      </w:r>
      <w:r w:rsidR="00707392">
        <w:t xml:space="preserve">exports </w:t>
      </w:r>
      <w:r>
        <w:t xml:space="preserve">are </w:t>
      </w:r>
      <w:r w:rsidR="00707392">
        <w:t>Indonesia</w:t>
      </w:r>
      <w:r w:rsidR="00BF6E36">
        <w:t xml:space="preserve"> and Vietnam</w:t>
      </w:r>
      <w:r>
        <w:t>.</w:t>
      </w:r>
    </w:p>
    <w:p w14:paraId="254545B6" w14:textId="3E55CA2D" w:rsidR="00014D3D" w:rsidRDefault="0025120B" w:rsidP="00D760C1">
      <w:r>
        <w:t xml:space="preserve">Value is added to beef and veal by-products </w:t>
      </w:r>
      <w:r w:rsidR="00795003">
        <w:t>via</w:t>
      </w:r>
      <w:r>
        <w:t xml:space="preserve"> rendering</w:t>
      </w:r>
      <w:r w:rsidR="00795003">
        <w:t xml:space="preserve"> and</w:t>
      </w:r>
      <w:r w:rsidR="002948A1">
        <w:t xml:space="preserve"> subsequent </w:t>
      </w:r>
      <w:r w:rsidR="00870550">
        <w:t xml:space="preserve">feed </w:t>
      </w:r>
      <w:r w:rsidR="002948A1">
        <w:t>manufacture</w:t>
      </w:r>
      <w:r>
        <w:t xml:space="preserve">. </w:t>
      </w:r>
      <w:r w:rsidR="00D9503C" w:rsidRPr="00D9503C">
        <w:t>Rendering is an industrial process that uses heat to treat animal by-products, killing pathogens, removing moisture, and separating solids from fats and oils. This produces valuable products like animal protein meal, processed animal protein, and rendered fats or oils</w:t>
      </w:r>
      <w:r w:rsidR="00567CDC">
        <w:t xml:space="preserve"> known as tallow</w:t>
      </w:r>
      <w:r w:rsidR="00D9503C" w:rsidRPr="00D9503C">
        <w:t xml:space="preserve">. </w:t>
      </w:r>
    </w:p>
    <w:p w14:paraId="4CCAA0FE" w14:textId="212A18E9" w:rsidR="006814C1" w:rsidRDefault="006814C1" w:rsidP="0025120B">
      <w:pPr>
        <w:tabs>
          <w:tab w:val="left" w:pos="610"/>
        </w:tabs>
      </w:pPr>
      <w:r>
        <w:t xml:space="preserve">Animal by-products are largely rendered in Australia </w:t>
      </w:r>
      <w:r w:rsidR="00EF7D67">
        <w:t xml:space="preserve">via </w:t>
      </w:r>
      <w:r w:rsidR="00A521D3">
        <w:t>a low-temperature</w:t>
      </w:r>
      <w:r w:rsidR="00347CBC">
        <w:t xml:space="preserve"> (low-pressure rendering)</w:t>
      </w:r>
      <w:r w:rsidR="00EF7D67">
        <w:t xml:space="preserve"> </w:t>
      </w:r>
      <w:r w:rsidR="00E97A05">
        <w:t xml:space="preserve">cooking </w:t>
      </w:r>
      <w:r w:rsidR="00040123">
        <w:t xml:space="preserve">process </w:t>
      </w:r>
      <w:r w:rsidR="004C50D0">
        <w:t xml:space="preserve">to remove the fat from the bone and protein, </w:t>
      </w:r>
      <w:r w:rsidR="00A8616D">
        <w:t xml:space="preserve">followed by product drying. </w:t>
      </w:r>
      <w:r w:rsidR="00E732B2" w:rsidRPr="00E732B2">
        <w:t>The current processing method contrasts with high-pressure rendering</w:t>
      </w:r>
      <w:r w:rsidR="00152AEC">
        <w:t xml:space="preserve"> recommended </w:t>
      </w:r>
      <w:r w:rsidR="00E732B2" w:rsidRPr="00E732B2">
        <w:t>by WOAH in BSE-affected countries as a measure to control the spread of BSE.</w:t>
      </w:r>
      <w:r w:rsidR="00E732B2">
        <w:t xml:space="preserve"> </w:t>
      </w:r>
      <w:r w:rsidR="00BA6ED7">
        <w:t xml:space="preserve">Under this process much higher temperatures are used </w:t>
      </w:r>
      <w:r w:rsidR="004C50D0">
        <w:t xml:space="preserve">to separate </w:t>
      </w:r>
      <w:r w:rsidR="002A43B7">
        <w:t>fat</w:t>
      </w:r>
      <w:r w:rsidR="007E54B6">
        <w:t>.</w:t>
      </w:r>
      <w:r w:rsidR="004D6764">
        <w:t xml:space="preserve"> </w:t>
      </w:r>
    </w:p>
    <w:p w14:paraId="0F7E0673" w14:textId="5E3BB32D" w:rsidR="00E869E3" w:rsidRDefault="00D760C1" w:rsidP="00E869E3">
      <w:pPr>
        <w:tabs>
          <w:tab w:val="left" w:pos="610"/>
          <w:tab w:val="num" w:pos="1440"/>
        </w:tabs>
      </w:pPr>
      <w:r>
        <w:t xml:space="preserve">There are approximately 70 rendering facilities operating in Australia; 53 are onsite </w:t>
      </w:r>
      <w:r w:rsidR="00F416D8">
        <w:t xml:space="preserve">with </w:t>
      </w:r>
      <w:r>
        <w:t>an abattoir (integrated renderers) and 17 are standalone facilities</w:t>
      </w:r>
      <w:r w:rsidR="00B42A2C">
        <w:t xml:space="preserve"> </w:t>
      </w:r>
      <w:r w:rsidR="00CF249E">
        <w:t xml:space="preserve">who </w:t>
      </w:r>
      <w:r w:rsidR="00CF249E" w:rsidRPr="00CF249E">
        <w:t>purchase raw material from various sources</w:t>
      </w:r>
      <w:r w:rsidR="00CF249E">
        <w:t xml:space="preserve"> </w:t>
      </w:r>
      <w:r w:rsidR="00B42A2C">
        <w:t>(service renderers)</w:t>
      </w:r>
      <w:r>
        <w:t xml:space="preserve">. </w:t>
      </w:r>
      <w:r w:rsidR="00917DB8" w:rsidRPr="000877AC">
        <w:t xml:space="preserve">Australia exports about 50% of its meal production, </w:t>
      </w:r>
      <w:r w:rsidR="00917DB8">
        <w:t>with</w:t>
      </w:r>
      <w:r w:rsidR="00917DB8" w:rsidRPr="000877AC">
        <w:t xml:space="preserve"> the</w:t>
      </w:r>
      <w:r w:rsidR="00917DB8">
        <w:t xml:space="preserve"> </w:t>
      </w:r>
      <w:r w:rsidR="00917DB8" w:rsidRPr="000877AC">
        <w:t>remaining</w:t>
      </w:r>
      <w:r w:rsidR="00917DB8">
        <w:t xml:space="preserve"> </w:t>
      </w:r>
      <w:r w:rsidR="00917DB8" w:rsidRPr="000877AC">
        <w:t>50% used domestically</w:t>
      </w:r>
      <w:r w:rsidR="00917DB8">
        <w:t xml:space="preserve">. </w:t>
      </w:r>
      <w:r>
        <w:t xml:space="preserve">In </w:t>
      </w:r>
      <w:r w:rsidR="009304D0">
        <w:t>20</w:t>
      </w:r>
      <w:r>
        <w:t>23</w:t>
      </w:r>
      <w:r w:rsidR="009304D0">
        <w:t>-24</w:t>
      </w:r>
      <w:r>
        <w:t xml:space="preserve"> the value of bovine rendered products exported from Australia was approximately AUD</w:t>
      </w:r>
      <w:r w:rsidR="00E869E3">
        <w:t xml:space="preserve"> </w:t>
      </w:r>
      <w:r w:rsidR="000877AC" w:rsidRPr="000877AC">
        <w:t>132</w:t>
      </w:r>
      <w:r w:rsidR="00E869E3">
        <w:t xml:space="preserve"> million (ARA pers comm.)</w:t>
      </w:r>
    </w:p>
    <w:p w14:paraId="50B27908" w14:textId="27D95BA0" w:rsidR="009F7470" w:rsidRPr="009003F7" w:rsidRDefault="00AF4B7B" w:rsidP="00D760C1">
      <w:r>
        <w:t>The r</w:t>
      </w:r>
      <w:r w:rsidR="009139F2">
        <w:t>uminant animal material</w:t>
      </w:r>
      <w:r w:rsidR="00B42A2C">
        <w:t xml:space="preserve"> (RAM)</w:t>
      </w:r>
      <w:r w:rsidR="008D37DB">
        <w:t xml:space="preserve"> from rendering facilities </w:t>
      </w:r>
      <w:r w:rsidR="007E6FA2">
        <w:t xml:space="preserve">not exported </w:t>
      </w:r>
      <w:r w:rsidR="008D37DB">
        <w:t xml:space="preserve">is sold to </w:t>
      </w:r>
      <w:r w:rsidR="0036752B">
        <w:t xml:space="preserve">domestic </w:t>
      </w:r>
      <w:r w:rsidR="008D37DB">
        <w:t xml:space="preserve">stockfeed </w:t>
      </w:r>
      <w:r w:rsidR="00B52BE3">
        <w:t>manufactur</w:t>
      </w:r>
      <w:r w:rsidR="00B42A2C">
        <w:t xml:space="preserve">ers. </w:t>
      </w:r>
      <w:r w:rsidR="0056130A">
        <w:t>Around 90% of A</w:t>
      </w:r>
      <w:r w:rsidR="00261D78">
        <w:t>ustralia stockfeed manufacturers</w:t>
      </w:r>
      <w:r w:rsidR="0056130A">
        <w:t xml:space="preserve"> </w:t>
      </w:r>
      <w:r w:rsidR="00BF056E">
        <w:t>(138</w:t>
      </w:r>
      <w:r w:rsidR="00E432BB">
        <w:t xml:space="preserve"> </w:t>
      </w:r>
      <w:r w:rsidR="00581283">
        <w:t xml:space="preserve">organisations </w:t>
      </w:r>
      <w:r w:rsidR="00E432BB">
        <w:t>over 195 sites</w:t>
      </w:r>
      <w:r w:rsidR="00BF056E">
        <w:t xml:space="preserve">) </w:t>
      </w:r>
      <w:r w:rsidR="0056130A">
        <w:t xml:space="preserve">are </w:t>
      </w:r>
      <w:r w:rsidR="00A911C7">
        <w:t xml:space="preserve">represented </w:t>
      </w:r>
      <w:r w:rsidR="00E91FBF">
        <w:t xml:space="preserve">by the </w:t>
      </w:r>
      <w:r w:rsidR="00EA471E">
        <w:t>Stockfeed Manufacturers Council of Australia</w:t>
      </w:r>
      <w:r w:rsidR="00CD6AB0">
        <w:t xml:space="preserve"> (SFMCA)</w:t>
      </w:r>
      <w:r w:rsidR="00EA471E">
        <w:t xml:space="preserve"> and certified via the FeedSafe</w:t>
      </w:r>
      <w:r w:rsidR="007E0651">
        <w:rPr>
          <w:vertAlign w:val="superscript"/>
        </w:rPr>
        <w:t>®</w:t>
      </w:r>
      <w:r w:rsidR="00EA471E">
        <w:t xml:space="preserve"> quality assurance programme</w:t>
      </w:r>
      <w:r w:rsidR="00E432BB">
        <w:t xml:space="preserve"> (D. Rowland pers. </w:t>
      </w:r>
      <w:r w:rsidR="00435A7A">
        <w:t>c</w:t>
      </w:r>
      <w:r w:rsidR="00E432BB">
        <w:t>omm)</w:t>
      </w:r>
      <w:r w:rsidR="00444039">
        <w:t xml:space="preserve">. </w:t>
      </w:r>
      <w:r w:rsidR="00A27B99">
        <w:t xml:space="preserve">Currently, most </w:t>
      </w:r>
      <w:r w:rsidR="00F960E1">
        <w:t>mills</w:t>
      </w:r>
      <w:r w:rsidR="00962091">
        <w:t xml:space="preserve"> </w:t>
      </w:r>
      <w:r w:rsidR="003514B4">
        <w:t xml:space="preserve">manufacture stockfeed </w:t>
      </w:r>
      <w:r w:rsidR="000F6EA0">
        <w:t>on</w:t>
      </w:r>
      <w:r w:rsidR="003514B4">
        <w:t xml:space="preserve"> ‘mixed’ </w:t>
      </w:r>
      <w:r w:rsidR="009F7470">
        <w:t xml:space="preserve">lines—where </w:t>
      </w:r>
      <w:r w:rsidR="00081D84">
        <w:t xml:space="preserve">non-RAM </w:t>
      </w:r>
      <w:r w:rsidR="00411658">
        <w:t xml:space="preserve">and RAM </w:t>
      </w:r>
      <w:r w:rsidR="009F7470">
        <w:t>are processed on</w:t>
      </w:r>
      <w:r w:rsidR="00081D84">
        <w:t xml:space="preserve"> the same production line</w:t>
      </w:r>
      <w:r w:rsidR="004627D4">
        <w:t xml:space="preserve"> following flushing and cleaning of </w:t>
      </w:r>
      <w:r w:rsidR="009F7470">
        <w:t xml:space="preserve">the lines. </w:t>
      </w:r>
      <w:r w:rsidR="007D691C" w:rsidRPr="007D691C">
        <w:t xml:space="preserve">This contrasts with the </w:t>
      </w:r>
      <w:r w:rsidR="00902C44">
        <w:t xml:space="preserve">recommendations of </w:t>
      </w:r>
      <w:r w:rsidR="007D691C" w:rsidRPr="007D691C">
        <w:t>WOAH on separating production lines for RAM and non-RAM in BSE-affected countries, aimed at reducing the risk of BSE spread</w:t>
      </w:r>
      <w:r w:rsidR="007A3CED">
        <w:t>.</w:t>
      </w:r>
      <w:r w:rsidR="00971E4E">
        <w:t xml:space="preserve"> </w:t>
      </w:r>
    </w:p>
    <w:p w14:paraId="4E0351D7" w14:textId="77777777" w:rsidR="00A91983" w:rsidRDefault="00A91983" w:rsidP="00A91983">
      <w:pPr>
        <w:spacing w:before="0" w:after="0" w:line="240" w:lineRule="auto"/>
        <w:jc w:val="left"/>
      </w:pPr>
    </w:p>
    <w:p w14:paraId="74CE8F29" w14:textId="77777777" w:rsidR="00F75AA9" w:rsidRDefault="00F75AA9" w:rsidP="00D85B85">
      <w:pPr>
        <w:tabs>
          <w:tab w:val="left" w:pos="610"/>
        </w:tabs>
        <w:jc w:val="left"/>
        <w:sectPr w:rsidR="00F75AA9" w:rsidSect="009A094A">
          <w:type w:val="oddPage"/>
          <w:pgSz w:w="11906" w:h="16838"/>
          <w:pgMar w:top="1440" w:right="1797" w:bottom="1440" w:left="1797" w:header="720" w:footer="720" w:gutter="0"/>
          <w:cols w:space="720"/>
        </w:sectPr>
      </w:pPr>
    </w:p>
    <w:p w14:paraId="5D283164" w14:textId="7F9CD80C" w:rsidR="005F2098" w:rsidRPr="00C759DF" w:rsidRDefault="00E45431" w:rsidP="000024FA">
      <w:pPr>
        <w:pStyle w:val="Heading1"/>
      </w:pPr>
      <w:bookmarkStart w:id="35" w:name="_Toc184311744"/>
      <w:bookmarkStart w:id="36" w:name="_Toc206083784"/>
      <w:bookmarkEnd w:id="22"/>
      <w:r w:rsidRPr="00C759DF">
        <w:lastRenderedPageBreak/>
        <w:t>The</w:t>
      </w:r>
      <w:r w:rsidR="00CD0105" w:rsidRPr="00C759DF">
        <w:t xml:space="preserve"> BSE standard revision process</w:t>
      </w:r>
      <w:bookmarkEnd w:id="35"/>
      <w:bookmarkEnd w:id="36"/>
    </w:p>
    <w:p w14:paraId="6F07BF90" w14:textId="2FA5A068" w:rsidR="00CD0105" w:rsidRDefault="007949C1" w:rsidP="00545B20">
      <w:pPr>
        <w:pStyle w:val="Heading2"/>
      </w:pPr>
      <w:bookmarkStart w:id="37" w:name="_Toc184311745"/>
      <w:r>
        <w:t xml:space="preserve"> </w:t>
      </w:r>
      <w:bookmarkStart w:id="38" w:name="_Toc206083785"/>
      <w:r w:rsidR="00CD0105">
        <w:t>Background</w:t>
      </w:r>
      <w:bookmarkEnd w:id="37"/>
      <w:bookmarkEnd w:id="38"/>
    </w:p>
    <w:p w14:paraId="1BD45F33" w14:textId="3A448D1C" w:rsidR="00CD0105" w:rsidRDefault="000A586D" w:rsidP="00CD0105">
      <w:r w:rsidRPr="000A586D">
        <w:t xml:space="preserve">Bovine spongiform encephalopathy (BSE) </w:t>
      </w:r>
      <w:r w:rsidR="00BA38D9" w:rsidRPr="0022114A">
        <w:t>is a transmissible spongiform encephalopathy — a family of diseases caused by misfolded proteins called prions. Other prion-diseases include scrapie affecting sheep and goats, and chronic wasting disease affecting deer. In cattle,</w:t>
      </w:r>
      <w:r w:rsidR="00BA38D9" w:rsidRPr="000A586D">
        <w:t xml:space="preserve"> </w:t>
      </w:r>
      <w:r w:rsidRPr="000A586D">
        <w:t xml:space="preserve">BSE </w:t>
      </w:r>
      <w:r w:rsidR="009A3521">
        <w:t>is a</w:t>
      </w:r>
      <w:r w:rsidR="009A3521" w:rsidRPr="000A586D">
        <w:t xml:space="preserve"> </w:t>
      </w:r>
      <w:r w:rsidRPr="000A586D">
        <w:t>progressively fatal disease affecting the nervous system of cattle caused by the build-up of prions in nervous tissue.</w:t>
      </w:r>
      <w:r>
        <w:t xml:space="preserve"> </w:t>
      </w:r>
      <w:r w:rsidR="004C6EFD">
        <w:t xml:space="preserve">Two types occur: </w:t>
      </w:r>
      <w:r w:rsidR="004C6EFD" w:rsidRPr="00746841">
        <w:rPr>
          <w:i/>
          <w:iCs/>
        </w:rPr>
        <w:t>classical</w:t>
      </w:r>
      <w:r w:rsidR="004C6EFD">
        <w:t xml:space="preserve"> BSE which occurs when cattle ingest prion-contaminated feed</w:t>
      </w:r>
      <w:r w:rsidR="00CD0105">
        <w:t xml:space="preserve">; and </w:t>
      </w:r>
      <w:r w:rsidR="00CD0105" w:rsidRPr="00746841">
        <w:rPr>
          <w:i/>
          <w:iCs/>
        </w:rPr>
        <w:t>atypical</w:t>
      </w:r>
      <w:r w:rsidR="00CD0105">
        <w:t xml:space="preserve"> BSE,</w:t>
      </w:r>
      <w:r w:rsidR="00CD0105" w:rsidRPr="00AA2F06">
        <w:t xml:space="preserve"> </w:t>
      </w:r>
      <w:r w:rsidR="00CD0105">
        <w:t>which occurs</w:t>
      </w:r>
      <w:r w:rsidR="00CD0105" w:rsidRPr="00AA2F06">
        <w:t xml:space="preserve"> naturally and sporadically</w:t>
      </w:r>
      <w:r w:rsidR="00CD0105">
        <w:t>, and which is considered very rare. Atypical BSE is</w:t>
      </w:r>
      <w:r w:rsidR="00CD0105" w:rsidRPr="00AA2F06">
        <w:t xml:space="preserve"> believed to occur spontaneously in all bovine populations at a very low rate. </w:t>
      </w:r>
      <w:r w:rsidR="002B62BE" w:rsidRPr="00012C98">
        <w:t>There is no evidence that atypical BSE is</w:t>
      </w:r>
      <w:r w:rsidR="002B62BE" w:rsidRPr="0022114A">
        <w:t xml:space="preserve"> </w:t>
      </w:r>
      <w:r w:rsidR="009E2777" w:rsidRPr="0022114A">
        <w:t xml:space="preserve">naturally </w:t>
      </w:r>
      <w:r w:rsidR="009E2777" w:rsidRPr="00012C98">
        <w:t xml:space="preserve">transmissible </w:t>
      </w:r>
      <w:r w:rsidR="007F1F01" w:rsidRPr="00012C98">
        <w:t>under field conditions</w:t>
      </w:r>
      <w:r w:rsidR="007F1F01" w:rsidRPr="00AA2F06">
        <w:t xml:space="preserve"> </w:t>
      </w:r>
      <w:r w:rsidR="00450915" w:rsidRPr="00AA2F06">
        <w:t>and has only been identified in older bovines when conducting intensive surveillance</w:t>
      </w:r>
      <w:r w:rsidR="00CD0105" w:rsidRPr="00AA2F06">
        <w:t>.</w:t>
      </w:r>
      <w:r w:rsidR="00CD0105">
        <w:t xml:space="preserve"> </w:t>
      </w:r>
      <w:r w:rsidR="00214BD8" w:rsidRPr="00524267">
        <w:t>Despite this,</w:t>
      </w:r>
      <w:r w:rsidR="00AB51C0" w:rsidRPr="00524267">
        <w:t xml:space="preserve"> the </w:t>
      </w:r>
      <w:r w:rsidR="009771F8" w:rsidRPr="00524267">
        <w:t>role of</w:t>
      </w:r>
      <w:r w:rsidR="00214BD8" w:rsidRPr="00524267">
        <w:t xml:space="preserve"> atypical BSE </w:t>
      </w:r>
      <w:r w:rsidR="009771F8" w:rsidRPr="00524267">
        <w:t xml:space="preserve">in WOAH Members’ official status was a </w:t>
      </w:r>
      <w:r w:rsidR="001121BA" w:rsidRPr="00524267">
        <w:t xml:space="preserve">central </w:t>
      </w:r>
      <w:r w:rsidR="009771F8" w:rsidRPr="00524267">
        <w:t xml:space="preserve">point of contention </w:t>
      </w:r>
      <w:r w:rsidR="001121BA" w:rsidRPr="00524267">
        <w:t>in the standard revision</w:t>
      </w:r>
      <w:r w:rsidR="00EE69B2" w:rsidRPr="00524267">
        <w:t xml:space="preserve"> process.</w:t>
      </w:r>
      <w:r w:rsidR="00214BD8">
        <w:t xml:space="preserve"> </w:t>
      </w:r>
    </w:p>
    <w:p w14:paraId="3D54E93D" w14:textId="43AC10A7" w:rsidR="00CD0105" w:rsidRDefault="00CD0105" w:rsidP="00CD0105">
      <w:r w:rsidRPr="00BB7F15">
        <w:t>Classical BSE was first diagnosed in bovines in the United Kingdom (UK) in 1986, but had probably been present in the country’s bovine population since the 1970s or earlier</w:t>
      </w:r>
      <w:r>
        <w:t xml:space="preserve"> (Smith 2003)</w:t>
      </w:r>
      <w:r w:rsidRPr="00BB7F15">
        <w:t xml:space="preserve">. Subsequent to the UK outbreak, BSE </w:t>
      </w:r>
      <w:r>
        <w:t>was</w:t>
      </w:r>
      <w:r w:rsidRPr="00BB7F15">
        <w:t xml:space="preserve"> reported in at least 25 other countries, mainly in Europe, Asia, the Middle East, and North America. </w:t>
      </w:r>
      <w:r w:rsidRPr="00CD0105">
        <w:t xml:space="preserve">The bulk of cases were </w:t>
      </w:r>
      <w:r>
        <w:t xml:space="preserve">detected </w:t>
      </w:r>
      <w:r w:rsidRPr="002D7DBD">
        <w:t xml:space="preserve">between 1986 and </w:t>
      </w:r>
      <w:r>
        <w:t>mid-2000s.</w:t>
      </w:r>
      <w:r w:rsidRPr="002D7DBD">
        <w:t xml:space="preserve"> </w:t>
      </w:r>
      <w:r w:rsidRPr="00BB7F15">
        <w:t xml:space="preserve">The zoonotic potential of classical BSE </w:t>
      </w:r>
      <w:r>
        <w:t xml:space="preserve">(variant Creutzfeldt-Jacob disease) </w:t>
      </w:r>
      <w:r w:rsidRPr="00BB7F15">
        <w:t xml:space="preserve">triggered a public health crisis during the </w:t>
      </w:r>
      <w:r>
        <w:t>19</w:t>
      </w:r>
      <w:r w:rsidRPr="00BB7F15">
        <w:t>90s and led to the imperative for global control measures to prevent the introduction of the disease and deal with cases of the disease</w:t>
      </w:r>
      <w:r>
        <w:t xml:space="preserve"> (</w:t>
      </w:r>
      <w:r w:rsidRPr="009658D5">
        <w:t>Maurella et al. 2013</w:t>
      </w:r>
      <w:r>
        <w:t>)</w:t>
      </w:r>
      <w:r w:rsidRPr="00BB7F15">
        <w:t xml:space="preserve">. </w:t>
      </w:r>
    </w:p>
    <w:p w14:paraId="44C8FD4A" w14:textId="6DA9C6D6" w:rsidR="00CD0105" w:rsidRDefault="00CD0105" w:rsidP="002E5846">
      <w:pPr>
        <w:pStyle w:val="Heading3"/>
      </w:pPr>
      <w:r>
        <w:t>BSE prevention and control measures</w:t>
      </w:r>
    </w:p>
    <w:p w14:paraId="5219ECD4" w14:textId="1589D597" w:rsidR="00CD0105" w:rsidRPr="00CD0105" w:rsidRDefault="00CD0105" w:rsidP="000D5276">
      <w:pPr>
        <w:rPr>
          <w:rFonts w:eastAsia="Calibri"/>
        </w:rPr>
      </w:pPr>
      <w:r w:rsidRPr="00CD0105">
        <w:rPr>
          <w:rFonts w:eastAsia="Calibri"/>
        </w:rPr>
        <w:t xml:space="preserve">The global control measures introduced to reduce BSE risks have evolved, with currently recommended measures outlined in the </w:t>
      </w:r>
      <w:r w:rsidRPr="00CD0105">
        <w:rPr>
          <w:rFonts w:eastAsia="Calibri"/>
          <w:i/>
        </w:rPr>
        <w:t>Terrestrial Animal Health Code</w:t>
      </w:r>
      <w:r w:rsidRPr="00CD0105">
        <w:rPr>
          <w:rFonts w:eastAsia="Calibri"/>
        </w:rPr>
        <w:t xml:space="preserve"> (</w:t>
      </w:r>
      <w:r w:rsidR="00EE69B2">
        <w:rPr>
          <w:rFonts w:eastAsia="Calibri"/>
        </w:rPr>
        <w:t>hereafter ‘</w:t>
      </w:r>
      <w:r w:rsidR="009D6F37" w:rsidRPr="001566AF">
        <w:rPr>
          <w:rFonts w:eastAsia="Calibri"/>
          <w:i/>
          <w:iCs/>
        </w:rPr>
        <w:t>T</w:t>
      </w:r>
      <w:r w:rsidR="00D055E0" w:rsidRPr="001566AF">
        <w:rPr>
          <w:rFonts w:eastAsia="Calibri"/>
          <w:i/>
          <w:iCs/>
        </w:rPr>
        <w:t>errestrial Code</w:t>
      </w:r>
      <w:r w:rsidR="00D055E0">
        <w:rPr>
          <w:rFonts w:eastAsia="Calibri"/>
        </w:rPr>
        <w:t>’</w:t>
      </w:r>
      <w:r w:rsidR="009D6F37">
        <w:rPr>
          <w:rFonts w:eastAsia="Calibri"/>
        </w:rPr>
        <w:t xml:space="preserve">; </w:t>
      </w:r>
      <w:r w:rsidRPr="00CD0105">
        <w:rPr>
          <w:rFonts w:eastAsia="Calibri"/>
        </w:rPr>
        <w:t>WOAH 2024). Current and historical measures</w:t>
      </w:r>
      <w:r w:rsidR="00C03C87">
        <w:rPr>
          <w:rFonts w:eastAsia="Calibri"/>
        </w:rPr>
        <w:t xml:space="preserve"> related to importing, production and processing</w:t>
      </w:r>
      <w:r w:rsidRPr="00CD0105">
        <w:rPr>
          <w:rFonts w:eastAsia="Calibri"/>
        </w:rPr>
        <w:t xml:space="preserve"> have included:</w:t>
      </w:r>
    </w:p>
    <w:p w14:paraId="479F57B5" w14:textId="77777777" w:rsidR="00CD0105" w:rsidRPr="00CD0105" w:rsidRDefault="00CD0105" w:rsidP="000D5276">
      <w:pPr>
        <w:rPr>
          <w:rFonts w:eastAsia="Calibri"/>
          <w:i/>
        </w:rPr>
      </w:pPr>
      <w:r w:rsidRPr="00CD0105">
        <w:rPr>
          <w:rFonts w:eastAsia="Calibri"/>
          <w:i/>
        </w:rPr>
        <w:t>Import</w:t>
      </w:r>
    </w:p>
    <w:p w14:paraId="46F49AA9" w14:textId="5362F604" w:rsidR="00CD0105" w:rsidRPr="00CD0105" w:rsidRDefault="00C03C87" w:rsidP="000D5276">
      <w:pPr>
        <w:numPr>
          <w:ilvl w:val="0"/>
          <w:numId w:val="13"/>
        </w:numPr>
        <w:ind w:left="714" w:hanging="357"/>
        <w:rPr>
          <w:rFonts w:eastAsia="Calibri"/>
        </w:rPr>
      </w:pPr>
      <w:r>
        <w:rPr>
          <w:rFonts w:eastAsia="Calibri"/>
        </w:rPr>
        <w:t>R</w:t>
      </w:r>
      <w:r w:rsidR="00CD0105" w:rsidRPr="00CD0105">
        <w:rPr>
          <w:rFonts w:eastAsia="Calibri"/>
        </w:rPr>
        <w:t>egulations to prevent the entry of potentially infected animals or animal products into a country or zone;</w:t>
      </w:r>
    </w:p>
    <w:p w14:paraId="30DE326B" w14:textId="77777777" w:rsidR="00CD0105" w:rsidRPr="00CD0105" w:rsidRDefault="00CD0105" w:rsidP="000D5276">
      <w:pPr>
        <w:numPr>
          <w:ilvl w:val="0"/>
          <w:numId w:val="13"/>
        </w:numPr>
        <w:ind w:left="714" w:hanging="357"/>
        <w:rPr>
          <w:rFonts w:eastAsia="Calibri"/>
        </w:rPr>
      </w:pPr>
      <w:r w:rsidRPr="00CD0105">
        <w:rPr>
          <w:rFonts w:eastAsia="Calibri"/>
        </w:rPr>
        <w:t>Restricted end use and/or lifetime monitoring for cattle imported before appropriate regulations were enforced.</w:t>
      </w:r>
    </w:p>
    <w:p w14:paraId="5740F15C" w14:textId="77777777" w:rsidR="00CD0105" w:rsidRPr="00CD0105" w:rsidRDefault="00CD0105" w:rsidP="000D5276">
      <w:pPr>
        <w:rPr>
          <w:rFonts w:eastAsia="Calibri"/>
          <w:i/>
        </w:rPr>
      </w:pPr>
      <w:r w:rsidRPr="00CD0105">
        <w:rPr>
          <w:rFonts w:eastAsia="Calibri"/>
          <w:i/>
        </w:rPr>
        <w:t>Production</w:t>
      </w:r>
    </w:p>
    <w:p w14:paraId="717842FE" w14:textId="6F6227E4" w:rsidR="00CD0105" w:rsidRPr="00CD0105" w:rsidRDefault="00C03C87" w:rsidP="000D5276">
      <w:pPr>
        <w:numPr>
          <w:ilvl w:val="0"/>
          <w:numId w:val="13"/>
        </w:numPr>
        <w:ind w:left="714" w:hanging="357"/>
        <w:rPr>
          <w:rFonts w:eastAsia="Calibri"/>
        </w:rPr>
      </w:pPr>
      <w:r>
        <w:rPr>
          <w:rFonts w:eastAsia="Calibri"/>
        </w:rPr>
        <w:t>L</w:t>
      </w:r>
      <w:r w:rsidR="00CD0105" w:rsidRPr="00CD0105">
        <w:rPr>
          <w:rFonts w:eastAsia="Calibri"/>
        </w:rPr>
        <w:t>ivestock identification to enable effective surveillance and tracing of cattle</w:t>
      </w:r>
      <w:r w:rsidR="00217C41">
        <w:rPr>
          <w:rFonts w:eastAsia="Calibri"/>
        </w:rPr>
        <w:t>;</w:t>
      </w:r>
    </w:p>
    <w:p w14:paraId="2DAEEBAF" w14:textId="77777777" w:rsidR="00CD0105" w:rsidRPr="00CD0105" w:rsidRDefault="00CD0105" w:rsidP="000D5276">
      <w:pPr>
        <w:numPr>
          <w:ilvl w:val="0"/>
          <w:numId w:val="13"/>
        </w:numPr>
        <w:ind w:left="714" w:hanging="357"/>
        <w:rPr>
          <w:rFonts w:eastAsia="Calibri"/>
        </w:rPr>
      </w:pPr>
      <w:r w:rsidRPr="00CD0105">
        <w:rPr>
          <w:rFonts w:eastAsia="Calibri"/>
        </w:rPr>
        <w:t>Active and passive surveillance, especially of cattle showing clinical signs which are consistent with BSE;</w:t>
      </w:r>
    </w:p>
    <w:p w14:paraId="2A945126" w14:textId="67B0928F" w:rsidR="00CD0105" w:rsidRPr="00CD0105" w:rsidRDefault="00C03C87" w:rsidP="000D5276">
      <w:pPr>
        <w:numPr>
          <w:ilvl w:val="0"/>
          <w:numId w:val="13"/>
        </w:numPr>
        <w:ind w:left="714" w:hanging="357"/>
        <w:rPr>
          <w:rFonts w:eastAsia="Calibri"/>
        </w:rPr>
      </w:pPr>
      <w:r>
        <w:rPr>
          <w:rFonts w:eastAsia="Calibri"/>
        </w:rPr>
        <w:t>B</w:t>
      </w:r>
      <w:r w:rsidR="00CD0105" w:rsidRPr="00CD0105">
        <w:rPr>
          <w:rFonts w:eastAsia="Calibri"/>
        </w:rPr>
        <w:t>anning the consumption by ruminants of ruminant-derived material (ruminant-to-ruminant feed ban). This can be supported by:</w:t>
      </w:r>
    </w:p>
    <w:p w14:paraId="16F9D79A" w14:textId="77777777" w:rsidR="00CD0105" w:rsidRPr="00CD0105" w:rsidRDefault="00CD0105" w:rsidP="000D5276">
      <w:pPr>
        <w:numPr>
          <w:ilvl w:val="1"/>
          <w:numId w:val="13"/>
        </w:numPr>
        <w:rPr>
          <w:rFonts w:eastAsia="Calibri"/>
        </w:rPr>
      </w:pPr>
      <w:r w:rsidRPr="00CD0105">
        <w:rPr>
          <w:rFonts w:eastAsia="Calibri"/>
        </w:rPr>
        <w:lastRenderedPageBreak/>
        <w:t>feed labelling regulations</w:t>
      </w:r>
    </w:p>
    <w:p w14:paraId="09D0FCA6" w14:textId="77777777" w:rsidR="00CD0105" w:rsidRPr="00CD0105" w:rsidRDefault="00CD0105" w:rsidP="000D5276">
      <w:pPr>
        <w:numPr>
          <w:ilvl w:val="1"/>
          <w:numId w:val="13"/>
        </w:numPr>
        <w:rPr>
          <w:rFonts w:eastAsia="Calibri"/>
        </w:rPr>
      </w:pPr>
      <w:r w:rsidRPr="00CD0105">
        <w:rPr>
          <w:rFonts w:eastAsia="Calibri"/>
        </w:rPr>
        <w:t xml:space="preserve">segregated feed manufacturing to prevent cross-contamination, for example dedicated establishments or processing lines;  </w:t>
      </w:r>
    </w:p>
    <w:p w14:paraId="31792DA5" w14:textId="77777777" w:rsidR="00CD0105" w:rsidRPr="00CD0105" w:rsidRDefault="00CD0105" w:rsidP="000D5276">
      <w:pPr>
        <w:numPr>
          <w:ilvl w:val="0"/>
          <w:numId w:val="13"/>
        </w:numPr>
        <w:ind w:left="714" w:hanging="357"/>
        <w:rPr>
          <w:rFonts w:eastAsia="Calibri"/>
        </w:rPr>
      </w:pPr>
      <w:r w:rsidRPr="00CD0105">
        <w:rPr>
          <w:rFonts w:eastAsia="Calibri"/>
        </w:rPr>
        <w:t xml:space="preserve">appropriate destruction and disposal of carcasses and all products of confirmed or suspected cases; and </w:t>
      </w:r>
    </w:p>
    <w:p w14:paraId="10D8D568" w14:textId="0E5DB7BB" w:rsidR="00CD0105" w:rsidRPr="00CD0105" w:rsidRDefault="00CD0105" w:rsidP="000D5276">
      <w:pPr>
        <w:numPr>
          <w:ilvl w:val="0"/>
          <w:numId w:val="13"/>
        </w:numPr>
        <w:ind w:left="714" w:hanging="357"/>
        <w:rPr>
          <w:rFonts w:eastAsia="Calibri"/>
        </w:rPr>
      </w:pPr>
      <w:r w:rsidRPr="00CD0105">
        <w:rPr>
          <w:rFonts w:eastAsia="Calibri"/>
        </w:rPr>
        <w:t>destruction of cohort animals from a confirmed case which have potentially been exposed to a common source of BSE agent(s);</w:t>
      </w:r>
    </w:p>
    <w:p w14:paraId="697FAEAD" w14:textId="77777777" w:rsidR="00CD0105" w:rsidRPr="00CD0105" w:rsidRDefault="00CD0105" w:rsidP="000D5276">
      <w:pPr>
        <w:rPr>
          <w:rFonts w:eastAsia="Calibri"/>
          <w:i/>
        </w:rPr>
      </w:pPr>
      <w:r w:rsidRPr="00CD0105">
        <w:rPr>
          <w:rFonts w:eastAsia="Calibri"/>
          <w:i/>
        </w:rPr>
        <w:t>Processing</w:t>
      </w:r>
    </w:p>
    <w:p w14:paraId="625D1004" w14:textId="7D298C06" w:rsidR="00CD0105" w:rsidRPr="00CD0105" w:rsidRDefault="00CD0105" w:rsidP="000D5276">
      <w:pPr>
        <w:numPr>
          <w:ilvl w:val="0"/>
          <w:numId w:val="13"/>
        </w:numPr>
        <w:ind w:left="714" w:hanging="357"/>
        <w:rPr>
          <w:rFonts w:eastAsia="Calibri"/>
        </w:rPr>
      </w:pPr>
      <w:r w:rsidRPr="00CD0105">
        <w:rPr>
          <w:rFonts w:eastAsia="Calibri"/>
        </w:rPr>
        <w:t>removal of tissues with the greatest infectivity, commonly called ‘specified risk material’ (</w:t>
      </w:r>
      <w:r w:rsidR="00182EC3">
        <w:rPr>
          <w:rFonts w:eastAsia="Calibri"/>
        </w:rPr>
        <w:t xml:space="preserve">SRM; </w:t>
      </w:r>
      <w:r w:rsidRPr="00CD0105">
        <w:rPr>
          <w:rFonts w:eastAsia="Calibri"/>
        </w:rPr>
        <w:t>brain, spinal column, etc.) during slaughter and processing of carcasses so they it can be segregated from the human food and the animal feed chains;</w:t>
      </w:r>
    </w:p>
    <w:p w14:paraId="273C5C3F" w14:textId="77777777" w:rsidR="00CD0105" w:rsidRPr="00CD0105" w:rsidRDefault="00CD0105" w:rsidP="000D5276">
      <w:pPr>
        <w:numPr>
          <w:ilvl w:val="0"/>
          <w:numId w:val="13"/>
        </w:numPr>
        <w:ind w:left="714" w:hanging="357"/>
        <w:rPr>
          <w:rFonts w:eastAsia="Calibri"/>
        </w:rPr>
      </w:pPr>
      <w:r w:rsidRPr="00CD0105">
        <w:rPr>
          <w:rFonts w:eastAsia="Calibri"/>
        </w:rPr>
        <w:t>Banning the mechanical recovery of meat from the bones of cattle;</w:t>
      </w:r>
    </w:p>
    <w:p w14:paraId="51AB9ADA" w14:textId="03A901DB" w:rsidR="00CD0105" w:rsidRPr="00CD0105" w:rsidRDefault="00CD0105" w:rsidP="000D5276">
      <w:pPr>
        <w:numPr>
          <w:ilvl w:val="0"/>
          <w:numId w:val="13"/>
        </w:numPr>
        <w:ind w:left="714" w:hanging="357"/>
        <w:rPr>
          <w:rFonts w:eastAsia="Calibri"/>
        </w:rPr>
      </w:pPr>
      <w:r w:rsidRPr="00CD0105">
        <w:rPr>
          <w:rFonts w:eastAsia="Calibri"/>
        </w:rPr>
        <w:t>Enforcing that animals must be slaughtered from human consumption prior to reaching a certain age, commonly 30 months; and</w:t>
      </w:r>
    </w:p>
    <w:p w14:paraId="3F607F5A" w14:textId="77777777" w:rsidR="00CD0105" w:rsidRPr="00CD0105" w:rsidRDefault="00CD0105" w:rsidP="000D5276">
      <w:pPr>
        <w:numPr>
          <w:ilvl w:val="0"/>
          <w:numId w:val="13"/>
        </w:numPr>
        <w:ind w:left="714" w:hanging="357"/>
        <w:rPr>
          <w:rFonts w:eastAsia="Calibri"/>
        </w:rPr>
      </w:pPr>
      <w:r w:rsidRPr="00CD0105">
        <w:rPr>
          <w:rFonts w:eastAsia="Calibri"/>
        </w:rPr>
        <w:t xml:space="preserve">High temperature and pressure processing (e.g. specialised rendering) to decrease the infectivity of any BSE agents that are inadvertently present. </w:t>
      </w:r>
    </w:p>
    <w:p w14:paraId="1CDCB128" w14:textId="77777777" w:rsidR="00693020" w:rsidRDefault="00693020" w:rsidP="000D5276">
      <w:pPr>
        <w:rPr>
          <w:rFonts w:eastAsia="Calibri"/>
        </w:rPr>
      </w:pPr>
    </w:p>
    <w:p w14:paraId="74027795" w14:textId="1378D053" w:rsidR="00CD0105" w:rsidRPr="00CD0105" w:rsidRDefault="00CD0105" w:rsidP="000D5276">
      <w:pPr>
        <w:rPr>
          <w:rFonts w:eastAsia="Calibri"/>
        </w:rPr>
      </w:pPr>
      <w:r w:rsidRPr="00CD0105">
        <w:rPr>
          <w:rFonts w:eastAsia="Calibri"/>
        </w:rPr>
        <w:t>Notably, BSE has never been detected in Australia. As a result:</w:t>
      </w:r>
    </w:p>
    <w:p w14:paraId="4B577E01" w14:textId="1FAA1BBD" w:rsidR="00CD0105" w:rsidRPr="00CD0105" w:rsidRDefault="00CD0105" w:rsidP="000F6711">
      <w:pPr>
        <w:numPr>
          <w:ilvl w:val="0"/>
          <w:numId w:val="15"/>
        </w:numPr>
        <w:ind w:hanging="357"/>
        <w:rPr>
          <w:rFonts w:eastAsia="Calibri"/>
        </w:rPr>
      </w:pPr>
      <w:r w:rsidRPr="00CD0105">
        <w:rPr>
          <w:rFonts w:eastAsia="Calibri"/>
        </w:rPr>
        <w:t xml:space="preserve">Australia has enforced </w:t>
      </w:r>
      <w:r w:rsidR="00E16C62">
        <w:rPr>
          <w:rFonts w:eastAsia="Calibri"/>
        </w:rPr>
        <w:t>science</w:t>
      </w:r>
      <w:r w:rsidR="00F827ED">
        <w:rPr>
          <w:rFonts w:eastAsia="Calibri"/>
        </w:rPr>
        <w:t xml:space="preserve"> and risk-based </w:t>
      </w:r>
      <w:r w:rsidRPr="00CD0105">
        <w:rPr>
          <w:rFonts w:eastAsia="Calibri"/>
        </w:rPr>
        <w:t xml:space="preserve">import and production controls to prevent the introduction and/or spread of the disease. </w:t>
      </w:r>
    </w:p>
    <w:p w14:paraId="7689C6F3" w14:textId="3EB7A510" w:rsidR="00CD0105" w:rsidRPr="00CD0105" w:rsidRDefault="00CD0105" w:rsidP="000D5276">
      <w:pPr>
        <w:numPr>
          <w:ilvl w:val="0"/>
          <w:numId w:val="15"/>
        </w:numPr>
        <w:ind w:hanging="357"/>
        <w:rPr>
          <w:rFonts w:eastAsia="Calibri"/>
        </w:rPr>
      </w:pPr>
      <w:r w:rsidRPr="00CD0105">
        <w:rPr>
          <w:rFonts w:eastAsia="Calibri"/>
        </w:rPr>
        <w:t>Australia has not deemed processing controls necessary</w:t>
      </w:r>
      <w:r w:rsidR="00A5591C">
        <w:rPr>
          <w:rFonts w:eastAsia="Calibri"/>
        </w:rPr>
        <w:t>,</w:t>
      </w:r>
      <w:r w:rsidRPr="00CD0105">
        <w:rPr>
          <w:rFonts w:eastAsia="Calibri"/>
        </w:rPr>
        <w:t xml:space="preserve"> as the risk of the BSE agent being present in animals of Australian origin is negligible</w:t>
      </w:r>
      <w:r w:rsidR="002D6A99">
        <w:rPr>
          <w:rFonts w:eastAsia="Calibri"/>
        </w:rPr>
        <w:t>.</w:t>
      </w:r>
      <w:r w:rsidRPr="00CD0105">
        <w:rPr>
          <w:rFonts w:eastAsia="Calibri"/>
        </w:rPr>
        <w:t xml:space="preserve"> </w:t>
      </w:r>
    </w:p>
    <w:p w14:paraId="1EA24946" w14:textId="77777777" w:rsidR="00CD0105" w:rsidRPr="00CD0105" w:rsidRDefault="00CD0105" w:rsidP="002E5846">
      <w:pPr>
        <w:pStyle w:val="Heading3"/>
      </w:pPr>
      <w:r w:rsidRPr="00CD0105">
        <w:t>BSE-risk status in international trade</w:t>
      </w:r>
    </w:p>
    <w:p w14:paraId="52E1B29C" w14:textId="51C5F803" w:rsidR="00CD0105" w:rsidRPr="00CD0105" w:rsidRDefault="00CD0105" w:rsidP="000D5276">
      <w:pPr>
        <w:rPr>
          <w:rFonts w:eastAsia="Calibri"/>
        </w:rPr>
      </w:pPr>
      <w:r w:rsidRPr="00CD0105">
        <w:rPr>
          <w:rFonts w:eastAsia="Calibri"/>
        </w:rPr>
        <w:t>WOAH officially recognises two categories of BSE risk status for countries or zones: ‘negligible risk’</w:t>
      </w:r>
      <w:r w:rsidRPr="00CD0105">
        <w:rPr>
          <w:rFonts w:eastAsia="Calibri"/>
          <w:lang w:val="en-GB"/>
        </w:rPr>
        <w:t>—</w:t>
      </w:r>
      <w:r w:rsidRPr="00CD0105">
        <w:rPr>
          <w:rFonts w:eastAsia="Calibri"/>
        </w:rPr>
        <w:t xml:space="preserve">the most favoured status possible; and ‘controlled risk’. </w:t>
      </w:r>
      <w:r w:rsidR="008E2FD3">
        <w:rPr>
          <w:rFonts w:eastAsia="Calibri"/>
        </w:rPr>
        <w:t>More details on t</w:t>
      </w:r>
      <w:r w:rsidRPr="00CD0105">
        <w:rPr>
          <w:rFonts w:eastAsia="Calibri"/>
        </w:rPr>
        <w:t xml:space="preserve">hese statuses are publicly available on </w:t>
      </w:r>
      <w:hyperlink r:id="rId27" w:anchor="ui-id-2" w:history="1">
        <w:r w:rsidRPr="00945E9F">
          <w:rPr>
            <w:rFonts w:eastAsia="Calibri"/>
            <w:color w:val="0563C1"/>
            <w:u w:val="single"/>
          </w:rPr>
          <w:t>WOAH’s webpage</w:t>
        </w:r>
      </w:hyperlink>
      <w:r w:rsidRPr="00CD0105">
        <w:rPr>
          <w:rFonts w:eastAsia="Calibri"/>
        </w:rPr>
        <w:t xml:space="preserve">. A country or zone that cannot demonstrate it has met the requirements for either status is considered to pose an ‘undetermined’ BSE risk. </w:t>
      </w:r>
    </w:p>
    <w:p w14:paraId="378DDCA5" w14:textId="00B0D930" w:rsidR="00CD0105" w:rsidRPr="00CD0105" w:rsidRDefault="00CD0105" w:rsidP="000D5276">
      <w:pPr>
        <w:rPr>
          <w:rFonts w:eastAsia="Calibri"/>
        </w:rPr>
      </w:pPr>
      <w:r w:rsidRPr="00CD0105">
        <w:rPr>
          <w:rFonts w:eastAsia="Calibri"/>
        </w:rPr>
        <w:t xml:space="preserve">To achieve negligible risk status, countries must submit detailed evidence to WOAH that demonstrates that they meet the requirements contained in the </w:t>
      </w:r>
      <w:r w:rsidRPr="001566AF">
        <w:rPr>
          <w:rFonts w:eastAsia="Calibri"/>
          <w:i/>
          <w:iCs/>
        </w:rPr>
        <w:t>Terrestrial Code</w:t>
      </w:r>
      <w:r w:rsidRPr="00CD0105">
        <w:rPr>
          <w:rFonts w:eastAsia="Calibri"/>
        </w:rPr>
        <w:t>. To maintain this status, they must submit an annual reconfirmation that they continue to meet relevant requirements.</w:t>
      </w:r>
    </w:p>
    <w:p w14:paraId="585674D7" w14:textId="4C04EA68" w:rsidR="00CD0105" w:rsidRPr="00CD0105" w:rsidRDefault="00CD0105" w:rsidP="000D5276">
      <w:pPr>
        <w:rPr>
          <w:rFonts w:eastAsia="Calibri"/>
        </w:rPr>
      </w:pPr>
      <w:r w:rsidRPr="00CD0105">
        <w:rPr>
          <w:rFonts w:eastAsia="Calibri"/>
        </w:rPr>
        <w:t xml:space="preserve">The official BSE status of a country has foundational impacts on </w:t>
      </w:r>
      <w:r w:rsidR="004C029A">
        <w:rPr>
          <w:rFonts w:eastAsia="Calibri"/>
        </w:rPr>
        <w:t>that country’s</w:t>
      </w:r>
      <w:r w:rsidR="004C029A" w:rsidRPr="00CD0105">
        <w:rPr>
          <w:rFonts w:eastAsia="Calibri"/>
        </w:rPr>
        <w:t xml:space="preserve"> </w:t>
      </w:r>
      <w:r w:rsidRPr="00CD0105">
        <w:rPr>
          <w:rFonts w:eastAsia="Calibri"/>
        </w:rPr>
        <w:t>ability to export cattle and cattle products. This is due to:</w:t>
      </w:r>
    </w:p>
    <w:p w14:paraId="07CD4037" w14:textId="02394CFA" w:rsidR="00CD0105" w:rsidRPr="00CD0105" w:rsidRDefault="00CD0105" w:rsidP="000D5276">
      <w:pPr>
        <w:numPr>
          <w:ilvl w:val="0"/>
          <w:numId w:val="16"/>
        </w:numPr>
        <w:rPr>
          <w:rFonts w:eastAsia="Calibri"/>
        </w:rPr>
      </w:pPr>
      <w:r w:rsidRPr="00CD0105">
        <w:rPr>
          <w:rFonts w:eastAsia="Calibri"/>
        </w:rPr>
        <w:t>WOAH having a mandate from the World Trade Organization to officially recognise disease-free areas of countries for trade purposes</w:t>
      </w:r>
      <w:r w:rsidR="00E95AAE">
        <w:rPr>
          <w:rFonts w:eastAsia="Calibri"/>
        </w:rPr>
        <w:t>;</w:t>
      </w:r>
    </w:p>
    <w:p w14:paraId="682524DE" w14:textId="6111B471" w:rsidR="00CD0105" w:rsidRPr="00CD0105" w:rsidRDefault="00CD0105" w:rsidP="00945E9F">
      <w:pPr>
        <w:numPr>
          <w:ilvl w:val="0"/>
          <w:numId w:val="16"/>
        </w:numPr>
        <w:jc w:val="left"/>
        <w:rPr>
          <w:rFonts w:eastAsia="Calibri"/>
        </w:rPr>
      </w:pPr>
      <w:r w:rsidRPr="00CD0105">
        <w:rPr>
          <w:rFonts w:eastAsia="Calibri"/>
        </w:rPr>
        <w:lastRenderedPageBreak/>
        <w:t xml:space="preserve">The trade recommendations contained in the </w:t>
      </w:r>
      <w:r w:rsidRPr="001566AF">
        <w:rPr>
          <w:rFonts w:eastAsia="Calibri"/>
          <w:i/>
          <w:iCs/>
        </w:rPr>
        <w:t>Terrestrial Code</w:t>
      </w:r>
      <w:r w:rsidRPr="00CD0105">
        <w:rPr>
          <w:rFonts w:eastAsia="Calibri"/>
        </w:rPr>
        <w:t xml:space="preserve"> being based on official status</w:t>
      </w:r>
      <w:r w:rsidR="00E95AAE">
        <w:rPr>
          <w:rFonts w:eastAsia="Calibri"/>
        </w:rPr>
        <w:t>;</w:t>
      </w:r>
    </w:p>
    <w:p w14:paraId="74043CE6" w14:textId="5C5F8B15" w:rsidR="00CD0105" w:rsidRDefault="00CD0105" w:rsidP="00945E9F">
      <w:pPr>
        <w:numPr>
          <w:ilvl w:val="0"/>
          <w:numId w:val="16"/>
        </w:numPr>
        <w:jc w:val="left"/>
        <w:rPr>
          <w:rFonts w:eastAsia="Calibri"/>
        </w:rPr>
      </w:pPr>
      <w:r w:rsidRPr="00CD0105">
        <w:rPr>
          <w:rFonts w:eastAsia="Calibri"/>
        </w:rPr>
        <w:t>BSE being a disease with high public sensitivity due to its zoonotic and lethal potential</w:t>
      </w:r>
      <w:r w:rsidR="00E95AAE">
        <w:rPr>
          <w:rFonts w:eastAsia="Calibri"/>
        </w:rPr>
        <w:t>;</w:t>
      </w:r>
      <w:r w:rsidR="00E95AAE" w:rsidRPr="00CD0105">
        <w:rPr>
          <w:rFonts w:eastAsia="Calibri"/>
        </w:rPr>
        <w:t xml:space="preserve"> </w:t>
      </w:r>
    </w:p>
    <w:p w14:paraId="46300137" w14:textId="7E88A240" w:rsidR="007F1889" w:rsidRPr="00CD0105" w:rsidRDefault="00127CB2" w:rsidP="00945E9F">
      <w:pPr>
        <w:numPr>
          <w:ilvl w:val="0"/>
          <w:numId w:val="16"/>
        </w:numPr>
        <w:jc w:val="left"/>
        <w:rPr>
          <w:rFonts w:eastAsia="Calibri"/>
        </w:rPr>
      </w:pPr>
      <w:r>
        <w:rPr>
          <w:rFonts w:eastAsia="Calibri"/>
        </w:rPr>
        <w:t>Importing countries</w:t>
      </w:r>
      <w:r w:rsidR="00543D4C">
        <w:rPr>
          <w:rFonts w:eastAsia="Calibri"/>
        </w:rPr>
        <w:t>’</w:t>
      </w:r>
      <w:r>
        <w:rPr>
          <w:rFonts w:eastAsia="Calibri"/>
        </w:rPr>
        <w:t xml:space="preserve"> requirements for bovine commodities </w:t>
      </w:r>
      <w:r w:rsidR="00543D4C">
        <w:rPr>
          <w:rFonts w:eastAsia="Calibri"/>
        </w:rPr>
        <w:t>from</w:t>
      </w:r>
      <w:r>
        <w:rPr>
          <w:rFonts w:eastAsia="Calibri"/>
        </w:rPr>
        <w:t xml:space="preserve"> most high-value trading partners requir</w:t>
      </w:r>
      <w:r w:rsidR="00B675AD">
        <w:rPr>
          <w:rFonts w:eastAsia="Calibri"/>
        </w:rPr>
        <w:t>ing</w:t>
      </w:r>
      <w:r>
        <w:rPr>
          <w:rFonts w:eastAsia="Calibri"/>
        </w:rPr>
        <w:t xml:space="preserve"> an official BSE negligible risk status</w:t>
      </w:r>
      <w:r w:rsidR="00E02018">
        <w:rPr>
          <w:rFonts w:eastAsia="Calibri"/>
        </w:rPr>
        <w:t>, sometimes in addition to their own</w:t>
      </w:r>
      <w:r w:rsidR="007F0696">
        <w:rPr>
          <w:rFonts w:eastAsia="Calibri"/>
        </w:rPr>
        <w:t xml:space="preserve"> country assessments on BSE risk</w:t>
      </w:r>
      <w:r>
        <w:rPr>
          <w:rFonts w:eastAsia="Calibri"/>
        </w:rPr>
        <w:t>.</w:t>
      </w:r>
    </w:p>
    <w:p w14:paraId="61A1451B" w14:textId="586789EE" w:rsidR="00CD0105" w:rsidRPr="00CD0105" w:rsidRDefault="00CD0105" w:rsidP="00945E9F">
      <w:pPr>
        <w:jc w:val="left"/>
        <w:rPr>
          <w:rFonts w:eastAsia="Calibri"/>
        </w:rPr>
      </w:pPr>
      <w:r w:rsidRPr="00CD0105">
        <w:rPr>
          <w:rFonts w:eastAsia="Calibri"/>
        </w:rPr>
        <w:t>BSE has never been detected in Australia, which has held a negligible risk status since 2007. In countries that had cases of BSE, implementation of control measures proved successful, resulting in an extremely low incidence of BSE across the globe</w:t>
      </w:r>
      <w:r w:rsidR="00B633E9">
        <w:rPr>
          <w:rFonts w:eastAsia="Calibri"/>
        </w:rPr>
        <w:t xml:space="preserve"> by </w:t>
      </w:r>
      <w:r w:rsidR="00834C61" w:rsidRPr="002F418F">
        <w:rPr>
          <w:rFonts w:eastAsia="Calibri"/>
        </w:rPr>
        <w:t>2015</w:t>
      </w:r>
      <w:r w:rsidRPr="00CD0105">
        <w:rPr>
          <w:rFonts w:eastAsia="Calibri"/>
        </w:rPr>
        <w:t xml:space="preserve">. Most of the countries that had cases of BSE are now recognised as having a negligible BSE risk status (Figure </w:t>
      </w:r>
      <w:r w:rsidR="006D6AAD" w:rsidRPr="00CD0105">
        <w:rPr>
          <w:rFonts w:eastAsia="Calibri"/>
        </w:rPr>
        <w:t>1</w:t>
      </w:r>
      <w:r w:rsidRPr="00CD0105">
        <w:rPr>
          <w:rFonts w:eastAsia="Calibri"/>
        </w:rPr>
        <w:t xml:space="preserve">). </w:t>
      </w:r>
    </w:p>
    <w:p w14:paraId="02E4F8E6" w14:textId="3FB05F11" w:rsidR="00CD0105" w:rsidRPr="00CD0105" w:rsidRDefault="00CD0105" w:rsidP="000D5276">
      <w:pPr>
        <w:rPr>
          <w:rFonts w:eastAsia="Calibri"/>
        </w:rPr>
      </w:pPr>
      <w:r w:rsidRPr="00CD0105">
        <w:rPr>
          <w:rFonts w:eastAsia="Calibri"/>
        </w:rPr>
        <w:t xml:space="preserve">Despite official WOAH recognition of a country’s negligible risk status for BSE and trade recommendations contained in the </w:t>
      </w:r>
      <w:r w:rsidRPr="00782858">
        <w:rPr>
          <w:rFonts w:eastAsia="Calibri"/>
          <w:i/>
          <w:iCs/>
        </w:rPr>
        <w:t>Terrestrial Code</w:t>
      </w:r>
      <w:r w:rsidRPr="00CD0105">
        <w:rPr>
          <w:rFonts w:eastAsia="Calibri"/>
        </w:rPr>
        <w:t xml:space="preserve">, individual trading partners </w:t>
      </w:r>
      <w:r w:rsidR="00E83B5D" w:rsidRPr="00E83B5D">
        <w:rPr>
          <w:rFonts w:eastAsia="Calibri"/>
          <w:noProof/>
        </w:rPr>
        <mc:AlternateContent>
          <mc:Choice Requires="wps">
            <w:drawing>
              <wp:anchor distT="45720" distB="45720" distL="114300" distR="114300" simplePos="0" relativeHeight="251656192" behindDoc="0" locked="0" layoutInCell="1" allowOverlap="1" wp14:anchorId="3BFF0D6E" wp14:editId="3FA032E9">
                <wp:simplePos x="0" y="0"/>
                <wp:positionH relativeFrom="margin">
                  <wp:posOffset>-119380</wp:posOffset>
                </wp:positionH>
                <wp:positionV relativeFrom="paragraph">
                  <wp:posOffset>0</wp:posOffset>
                </wp:positionV>
                <wp:extent cx="5895340" cy="32270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340" cy="3227070"/>
                        </a:xfrm>
                        <a:prstGeom prst="rect">
                          <a:avLst/>
                        </a:prstGeom>
                        <a:solidFill>
                          <a:srgbClr val="FFFFFF"/>
                        </a:solidFill>
                        <a:ln w="9525">
                          <a:noFill/>
                          <a:miter lim="800000"/>
                          <a:headEnd/>
                          <a:tailEnd/>
                        </a:ln>
                      </wps:spPr>
                      <wps:txbx>
                        <w:txbxContent>
                          <w:p w14:paraId="7DCB6FED" w14:textId="651E101E" w:rsidR="00EA58F4" w:rsidRPr="00CD0105" w:rsidRDefault="00EA58F4" w:rsidP="00A9230F">
                            <w:pPr>
                              <w:spacing w:before="240" w:after="0" w:line="240" w:lineRule="auto"/>
                              <w:jc w:val="left"/>
                              <w:rPr>
                                <w:rFonts w:ascii="Calibri" w:eastAsia="Calibri" w:hAnsi="Calibri"/>
                              </w:rPr>
                            </w:pPr>
                            <w:r>
                              <w:rPr>
                                <w:rFonts w:ascii="Calibri" w:eastAsia="Calibri" w:hAnsi="Calibri"/>
                                <w:noProof/>
                              </w:rPr>
                              <w:drawing>
                                <wp:inline distT="0" distB="0" distL="0" distR="0" wp14:anchorId="043EF424" wp14:editId="1D89CC4E">
                                  <wp:extent cx="5526090" cy="2702204"/>
                                  <wp:effectExtent l="19050" t="19050" r="17780" b="22225"/>
                                  <wp:docPr id="16756203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8">
                                            <a:extLst>
                                              <a:ext uri="{28A0092B-C50C-407E-A947-70E740481C1C}">
                                                <a14:useLocalDpi xmlns:a14="http://schemas.microsoft.com/office/drawing/2010/main" val="0"/>
                                              </a:ext>
                                            </a:extLst>
                                          </a:blip>
                                          <a:srcRect t="13760"/>
                                          <a:stretch/>
                                        </pic:blipFill>
                                        <pic:spPr bwMode="auto">
                                          <a:xfrm>
                                            <a:off x="0" y="0"/>
                                            <a:ext cx="5569832" cy="2723593"/>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28A314FF" w14:textId="588801E6" w:rsidR="00EA58F4" w:rsidRDefault="00EA58F4" w:rsidP="00BE57D0">
                            <w:pPr>
                              <w:pStyle w:val="Caption"/>
                            </w:pPr>
                            <w:bookmarkStart w:id="39" w:name="_Toc205218837"/>
                            <w:bookmarkStart w:id="40" w:name="_Toc206083808"/>
                            <w:r>
                              <w:t xml:space="preserve">Figure </w:t>
                            </w:r>
                            <w:r>
                              <w:fldChar w:fldCharType="begin"/>
                            </w:r>
                            <w:r>
                              <w:instrText xml:space="preserve"> SEQ Figure \* ARABIC </w:instrText>
                            </w:r>
                            <w:r>
                              <w:fldChar w:fldCharType="separate"/>
                            </w:r>
                            <w:r w:rsidR="003D357A">
                              <w:rPr>
                                <w:noProof/>
                              </w:rPr>
                              <w:t>1</w:t>
                            </w:r>
                            <w:r>
                              <w:rPr>
                                <w:noProof/>
                              </w:rPr>
                              <w:fldChar w:fldCharType="end"/>
                            </w:r>
                            <w:r>
                              <w:t xml:space="preserve">. </w:t>
                            </w:r>
                            <w:r w:rsidRPr="00C616F0">
                              <w:t>WOAH members’ official BSE risk status map</w:t>
                            </w:r>
                            <w:r>
                              <w:t xml:space="preserve"> in June 2024</w:t>
                            </w:r>
                            <w:r w:rsidRPr="00C616F0">
                              <w:t xml:space="preserve"> (WOAH, </w:t>
                            </w:r>
                            <w:hyperlink r:id="rId29" w:anchor="ui-id-1" w:history="1">
                              <w:r w:rsidRPr="00734B71">
                                <w:rPr>
                                  <w:rStyle w:val="Hyperlink"/>
                                </w:rPr>
                                <w:t>here</w:t>
                              </w:r>
                            </w:hyperlink>
                            <w:r w:rsidRPr="00C616F0">
                              <w:t>)</w:t>
                            </w:r>
                            <w:bookmarkEnd w:id="39"/>
                            <w:bookmarkEnd w:id="4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FF0D6E" id="_x0000_s1027" type="#_x0000_t202" style="position:absolute;left:0;text-align:left;margin-left:-9.4pt;margin-top:0;width:464.2pt;height:254.1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" stroked="f">
                <v:textbox>
                  <w:txbxContent>
                    <w:p w14:paraId="7DCB6FED" w14:textId="651E101E" w:rsidR="00EA58F4" w:rsidRPr="00CD0105" w:rsidRDefault="00EA58F4" w:rsidP="00A9230F">
                      <w:pPr>
                        <w:spacing w:before="240" w:after="0" w:line="240" w:lineRule="auto"/>
                        <w:jc w:val="left"/>
                        <w:rPr>
                          <w:rFonts w:ascii="Calibri" w:eastAsia="Calibri" w:hAnsi="Calibri"/>
                        </w:rPr>
                      </w:pPr>
                      <w:r>
                        <w:rPr>
                          <w:rFonts w:ascii="Calibri" w:eastAsia="Calibri" w:hAnsi="Calibri"/>
                          <w:noProof/>
                        </w:rPr>
                        <w:drawing>
                          <wp:inline distT="0" distB="0" distL="0" distR="0" wp14:anchorId="043EF424" wp14:editId="1D89CC4E">
                            <wp:extent cx="5526090" cy="2702204"/>
                            <wp:effectExtent l="19050" t="19050" r="17780" b="22225"/>
                            <wp:docPr id="16756203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8">
                                      <a:extLst>
                                        <a:ext uri="{28A0092B-C50C-407E-A947-70E740481C1C}">
                                          <a14:useLocalDpi xmlns:a14="http://schemas.microsoft.com/office/drawing/2010/main" val="0"/>
                                        </a:ext>
                                      </a:extLst>
                                    </a:blip>
                                    <a:srcRect t="13760"/>
                                    <a:stretch/>
                                  </pic:blipFill>
                                  <pic:spPr bwMode="auto">
                                    <a:xfrm>
                                      <a:off x="0" y="0"/>
                                      <a:ext cx="5569832" cy="2723593"/>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28A314FF" w14:textId="588801E6" w:rsidR="00EA58F4" w:rsidRDefault="00EA58F4" w:rsidP="00BE57D0">
                      <w:pPr>
                        <w:pStyle w:val="Caption"/>
                      </w:pPr>
                      <w:bookmarkStart w:id="41" w:name="_Toc205218837"/>
                      <w:bookmarkStart w:id="42" w:name="_Toc206083808"/>
                      <w:r>
                        <w:t xml:space="preserve">Figure </w:t>
                      </w:r>
                      <w:r>
                        <w:fldChar w:fldCharType="begin"/>
                      </w:r>
                      <w:r>
                        <w:instrText xml:space="preserve"> SEQ Figure \* ARABIC </w:instrText>
                      </w:r>
                      <w:r>
                        <w:fldChar w:fldCharType="separate"/>
                      </w:r>
                      <w:r w:rsidR="003D357A">
                        <w:rPr>
                          <w:noProof/>
                        </w:rPr>
                        <w:t>1</w:t>
                      </w:r>
                      <w:r>
                        <w:rPr>
                          <w:noProof/>
                        </w:rPr>
                        <w:fldChar w:fldCharType="end"/>
                      </w:r>
                      <w:r>
                        <w:t xml:space="preserve">. </w:t>
                      </w:r>
                      <w:r w:rsidRPr="00C616F0">
                        <w:t>WOAH members’ official BSE risk status map</w:t>
                      </w:r>
                      <w:r>
                        <w:t xml:space="preserve"> in June 2024</w:t>
                      </w:r>
                      <w:r w:rsidRPr="00C616F0">
                        <w:t xml:space="preserve"> (WOAH, </w:t>
                      </w:r>
                      <w:hyperlink r:id="rId30" w:anchor="ui-id-1" w:history="1">
                        <w:r w:rsidRPr="00734B71">
                          <w:rPr>
                            <w:rStyle w:val="Hyperlink"/>
                          </w:rPr>
                          <w:t>here</w:t>
                        </w:r>
                      </w:hyperlink>
                      <w:r w:rsidRPr="00C616F0">
                        <w:t>)</w:t>
                      </w:r>
                      <w:bookmarkEnd w:id="41"/>
                      <w:bookmarkEnd w:id="42"/>
                    </w:p>
                  </w:txbxContent>
                </v:textbox>
                <w10:wrap type="square" anchorx="margin"/>
              </v:shape>
            </w:pict>
          </mc:Fallback>
        </mc:AlternateContent>
      </w:r>
      <w:r w:rsidRPr="00CD0105">
        <w:rPr>
          <w:rFonts w:eastAsia="Calibri"/>
        </w:rPr>
        <w:t xml:space="preserve">still determine requirements under which bilateral trade occurs. </w:t>
      </w:r>
      <w:r w:rsidR="00693020">
        <w:rPr>
          <w:rFonts w:eastAsia="Calibri"/>
        </w:rPr>
        <w:t>In some cases</w:t>
      </w:r>
      <w:r w:rsidRPr="00CD0105">
        <w:rPr>
          <w:rFonts w:eastAsia="Calibri"/>
        </w:rPr>
        <w:t xml:space="preserve">, these requirements </w:t>
      </w:r>
      <w:r w:rsidR="00693020">
        <w:rPr>
          <w:rFonts w:eastAsia="Calibri"/>
        </w:rPr>
        <w:t xml:space="preserve">are </w:t>
      </w:r>
      <w:r w:rsidRPr="00CD0105">
        <w:rPr>
          <w:rFonts w:eastAsia="Calibri"/>
        </w:rPr>
        <w:t>more stringent than WOAH</w:t>
      </w:r>
      <w:r w:rsidR="00693020">
        <w:rPr>
          <w:rFonts w:eastAsia="Calibri"/>
        </w:rPr>
        <w:t xml:space="preserve">’s international </w:t>
      </w:r>
      <w:r w:rsidR="00A77596">
        <w:rPr>
          <w:rFonts w:eastAsia="Calibri"/>
        </w:rPr>
        <w:t>standards</w:t>
      </w:r>
      <w:r w:rsidRPr="00CD0105">
        <w:rPr>
          <w:rFonts w:eastAsia="Calibri"/>
        </w:rPr>
        <w:t>.</w:t>
      </w:r>
    </w:p>
    <w:p w14:paraId="1E8A2B97" w14:textId="32216DA9" w:rsidR="00CD0105" w:rsidRPr="00CD0105" w:rsidRDefault="00CD0105" w:rsidP="00545B20">
      <w:pPr>
        <w:pStyle w:val="Heading2"/>
        <w:rPr>
          <w:rFonts w:eastAsia="Calibri"/>
        </w:rPr>
      </w:pPr>
      <w:bookmarkStart w:id="43" w:name="_Toc184311746"/>
      <w:bookmarkStart w:id="44" w:name="_Toc206083786"/>
      <w:r w:rsidRPr="00CD0105">
        <w:rPr>
          <w:rFonts w:eastAsia="Calibri"/>
        </w:rPr>
        <w:t>BSE standard revision</w:t>
      </w:r>
      <w:bookmarkEnd w:id="43"/>
      <w:bookmarkEnd w:id="44"/>
    </w:p>
    <w:p w14:paraId="35B70850" w14:textId="53944577" w:rsidR="00CD0105" w:rsidRPr="00CD0105" w:rsidRDefault="00CD0105" w:rsidP="000D5276">
      <w:pPr>
        <w:rPr>
          <w:rFonts w:eastAsia="Calibri"/>
        </w:rPr>
      </w:pPr>
      <w:r w:rsidRPr="00CD0105">
        <w:rPr>
          <w:rFonts w:eastAsia="Calibri"/>
        </w:rPr>
        <w:t xml:space="preserve">The </w:t>
      </w:r>
      <w:r w:rsidRPr="00782858">
        <w:rPr>
          <w:rFonts w:eastAsia="Calibri"/>
          <w:i/>
          <w:iCs/>
        </w:rPr>
        <w:t>Terrestrial Code</w:t>
      </w:r>
      <w:r w:rsidRPr="00CD0105">
        <w:rPr>
          <w:rFonts w:eastAsia="Calibri"/>
        </w:rPr>
        <w:t xml:space="preserve"> contains two chapters specific to BSE which serve as the international standards governing WOAH Members’ official BSE status</w:t>
      </w:r>
      <w:r w:rsidR="0098634E">
        <w:rPr>
          <w:rFonts w:eastAsia="Calibri"/>
        </w:rPr>
        <w:t xml:space="preserve"> and</w:t>
      </w:r>
      <w:r w:rsidRPr="00CD0105">
        <w:rPr>
          <w:rFonts w:eastAsia="Calibri"/>
        </w:rPr>
        <w:t xml:space="preserve"> </w:t>
      </w:r>
      <w:r w:rsidR="00EA6A34">
        <w:rPr>
          <w:rFonts w:eastAsia="Calibri"/>
        </w:rPr>
        <w:t>trade</w:t>
      </w:r>
      <w:r w:rsidRPr="00CD0105">
        <w:rPr>
          <w:rFonts w:eastAsia="Calibri"/>
        </w:rPr>
        <w:t>, and are the basis for national BSE control systems:</w:t>
      </w:r>
    </w:p>
    <w:p w14:paraId="49C6B157" w14:textId="77CE2619" w:rsidR="00CD0105" w:rsidRPr="00CD0105" w:rsidRDefault="00CD0105" w:rsidP="00151135">
      <w:pPr>
        <w:numPr>
          <w:ilvl w:val="0"/>
          <w:numId w:val="17"/>
        </w:numPr>
        <w:spacing w:before="60" w:after="60"/>
        <w:ind w:left="777" w:hanging="357"/>
        <w:rPr>
          <w:rFonts w:eastAsia="Calibri"/>
        </w:rPr>
      </w:pPr>
      <w:r w:rsidRPr="00782858">
        <w:rPr>
          <w:rFonts w:eastAsia="Calibri"/>
        </w:rPr>
        <w:t>Chapter 1.8</w:t>
      </w:r>
      <w:r w:rsidR="00721EBE">
        <w:rPr>
          <w:rFonts w:eastAsia="Calibri"/>
        </w:rPr>
        <w:t>:</w:t>
      </w:r>
      <w:r w:rsidRPr="00782858">
        <w:rPr>
          <w:rFonts w:eastAsia="Calibri"/>
        </w:rPr>
        <w:t xml:space="preserve"> Application for official recognition by WOAH of risk status for bovine spongiform encephalopathy</w:t>
      </w:r>
      <w:r w:rsidRPr="00CD0105">
        <w:rPr>
          <w:rFonts w:eastAsia="Calibri"/>
        </w:rPr>
        <w:t xml:space="preserve"> (established 2009)</w:t>
      </w:r>
    </w:p>
    <w:p w14:paraId="0E429CE7" w14:textId="77777777" w:rsidR="009012DB" w:rsidRDefault="00CD0105" w:rsidP="008639D3">
      <w:pPr>
        <w:numPr>
          <w:ilvl w:val="0"/>
          <w:numId w:val="17"/>
        </w:numPr>
        <w:spacing w:before="60" w:after="60"/>
        <w:ind w:left="777" w:hanging="357"/>
        <w:rPr>
          <w:rFonts w:eastAsia="Calibri"/>
        </w:rPr>
      </w:pPr>
      <w:r w:rsidRPr="00782858">
        <w:rPr>
          <w:rFonts w:eastAsia="Calibri"/>
        </w:rPr>
        <w:t>Chapter 11.4</w:t>
      </w:r>
      <w:r w:rsidR="00721EBE">
        <w:rPr>
          <w:rFonts w:eastAsia="Calibri"/>
        </w:rPr>
        <w:t>:</w:t>
      </w:r>
      <w:r w:rsidRPr="00782858">
        <w:rPr>
          <w:rFonts w:eastAsia="Calibri"/>
        </w:rPr>
        <w:t xml:space="preserve"> Bovine spongiform encephalopathy</w:t>
      </w:r>
      <w:r w:rsidRPr="00CD0105">
        <w:rPr>
          <w:rFonts w:eastAsia="Calibri"/>
        </w:rPr>
        <w:t xml:space="preserve"> (established 1992)</w:t>
      </w:r>
      <w:r w:rsidR="008639D3" w:rsidRPr="00CD0105">
        <w:rPr>
          <w:rFonts w:eastAsia="Calibri"/>
        </w:rPr>
        <w:t xml:space="preserve"> </w:t>
      </w:r>
    </w:p>
    <w:p w14:paraId="0288E555" w14:textId="5BF6DAD4" w:rsidR="00EC5A8E" w:rsidRPr="00CD0105" w:rsidRDefault="00EC5A8E" w:rsidP="008D40B6">
      <w:pPr>
        <w:spacing w:before="60" w:after="60"/>
        <w:rPr>
          <w:rFonts w:eastAsia="Calibri"/>
        </w:rPr>
      </w:pPr>
      <w:r w:rsidRPr="00CD0105">
        <w:rPr>
          <w:rFonts w:eastAsia="Calibri"/>
        </w:rPr>
        <w:lastRenderedPageBreak/>
        <w:t xml:space="preserve">The global prevalence of classical BSE has declined dramatically since risk mitigation measures were introduced, with some considering the disease to have been largely eradicated (CDC n.d.). Consequently, the long-standing international standards </w:t>
      </w:r>
      <w:r w:rsidR="00231261">
        <w:rPr>
          <w:rFonts w:eastAsia="Calibri"/>
        </w:rPr>
        <w:t>became outdated</w:t>
      </w:r>
      <w:r w:rsidRPr="00CD0105">
        <w:rPr>
          <w:rFonts w:eastAsia="Calibri"/>
        </w:rPr>
        <w:t xml:space="preserve"> and involved resource-intensive surveillance measures, became misaligned with risk and contemporary knowledge. </w:t>
      </w:r>
    </w:p>
    <w:p w14:paraId="58D2A2B4" w14:textId="77777777" w:rsidR="00EC5A8E" w:rsidRPr="00CD0105" w:rsidRDefault="00EC5A8E" w:rsidP="00EC5A8E">
      <w:pPr>
        <w:rPr>
          <w:rFonts w:eastAsia="Calibri"/>
        </w:rPr>
      </w:pPr>
      <w:r w:rsidRPr="00CD0105">
        <w:rPr>
          <w:rFonts w:eastAsia="Calibri"/>
        </w:rPr>
        <w:t xml:space="preserve">In 2018, WOAH initiated a complete revision of </w:t>
      </w:r>
      <w:r w:rsidRPr="00782858">
        <w:rPr>
          <w:rFonts w:eastAsia="Calibri"/>
          <w:iCs/>
        </w:rPr>
        <w:t>Chapters 1.8</w:t>
      </w:r>
      <w:r w:rsidRPr="00CD0105">
        <w:rPr>
          <w:rFonts w:eastAsia="Calibri"/>
          <w:i/>
        </w:rPr>
        <w:t xml:space="preserve"> </w:t>
      </w:r>
      <w:r w:rsidRPr="00CD0105">
        <w:rPr>
          <w:rFonts w:eastAsia="Calibri"/>
        </w:rPr>
        <w:t xml:space="preserve">and </w:t>
      </w:r>
      <w:r w:rsidRPr="00782858">
        <w:rPr>
          <w:rFonts w:eastAsia="Calibri"/>
          <w:iCs/>
        </w:rPr>
        <w:t>11.4</w:t>
      </w:r>
      <w:r w:rsidRPr="00CD0105">
        <w:rPr>
          <w:rFonts w:eastAsia="Calibri"/>
          <w:i/>
        </w:rPr>
        <w:t xml:space="preserve"> </w:t>
      </w:r>
      <w:r w:rsidRPr="00CD0105">
        <w:rPr>
          <w:rFonts w:eastAsia="Calibri"/>
        </w:rPr>
        <w:t xml:space="preserve">of its </w:t>
      </w:r>
      <w:r w:rsidRPr="00782858">
        <w:rPr>
          <w:rFonts w:eastAsia="Calibri"/>
          <w:i/>
          <w:iCs/>
        </w:rPr>
        <w:t>Terrestrial Code</w:t>
      </w:r>
      <w:r w:rsidRPr="00CD0105">
        <w:rPr>
          <w:rFonts w:eastAsia="Calibri"/>
          <w:vertAlign w:val="superscript"/>
        </w:rPr>
        <w:t xml:space="preserve"> </w:t>
      </w:r>
      <w:r w:rsidRPr="00CD0105">
        <w:rPr>
          <w:rFonts w:eastAsia="Calibri"/>
        </w:rPr>
        <w:t xml:space="preserve">(WOAH 2024). </w:t>
      </w:r>
      <w:r>
        <w:rPr>
          <w:rFonts w:eastAsia="Calibri"/>
        </w:rPr>
        <w:t>A timeline of the revision process is given in Figure 2. The</w:t>
      </w:r>
      <w:r w:rsidRPr="00CD0105">
        <w:rPr>
          <w:rFonts w:eastAsia="Calibri"/>
        </w:rPr>
        <w:t xml:space="preserve"> revision was part of an established process to ensure that WOAH standards remain practical and based on contemporary science. Given the significant change in understanding and prevalence of BSE, the review of these chapters appeared to have universal support.  </w:t>
      </w:r>
    </w:p>
    <w:p w14:paraId="212A9654" w14:textId="38D43E1C" w:rsidR="00EC5A8E" w:rsidRDefault="00EC5A8E" w:rsidP="00EC5A8E">
      <w:pPr>
        <w:rPr>
          <w:rFonts w:eastAsia="Calibri"/>
        </w:rPr>
      </w:pPr>
      <w:r w:rsidRPr="00CD0105">
        <w:rPr>
          <w:rFonts w:eastAsia="Calibri"/>
        </w:rPr>
        <w:t xml:space="preserve">In line with normal process, the </w:t>
      </w:r>
      <w:bookmarkStart w:id="45" w:name="_Hlk175150692"/>
      <w:r w:rsidRPr="00CD0105">
        <w:rPr>
          <w:rFonts w:eastAsia="Calibri"/>
        </w:rPr>
        <w:t xml:space="preserve">revision was coordinated by </w:t>
      </w:r>
      <w:r>
        <w:rPr>
          <w:rFonts w:eastAsia="Calibri"/>
        </w:rPr>
        <w:t>WOAH’s</w:t>
      </w:r>
      <w:r w:rsidRPr="00CD0105">
        <w:rPr>
          <w:rFonts w:eastAsia="Calibri"/>
        </w:rPr>
        <w:t xml:space="preserve"> Terrestrial Animal Health Standards Commission, </w:t>
      </w:r>
      <w:bookmarkEnd w:id="45"/>
      <w:r w:rsidRPr="00CD0105">
        <w:rPr>
          <w:rFonts w:eastAsia="Calibri"/>
        </w:rPr>
        <w:t xml:space="preserve">with input from the </w:t>
      </w:r>
      <w:r>
        <w:rPr>
          <w:rFonts w:eastAsia="Calibri"/>
        </w:rPr>
        <w:t xml:space="preserve">SCAD </w:t>
      </w:r>
      <w:r w:rsidRPr="00CD0105">
        <w:rPr>
          <w:rFonts w:eastAsia="Calibri"/>
        </w:rPr>
        <w:t>and a specially formed</w:t>
      </w:r>
      <w:r>
        <w:rPr>
          <w:rFonts w:eastAsia="Calibri"/>
        </w:rPr>
        <w:t xml:space="preserve"> </w:t>
      </w:r>
      <w:r>
        <w:rPr>
          <w:rFonts w:eastAsia="Calibri"/>
          <w:i/>
          <w:iCs/>
        </w:rPr>
        <w:t xml:space="preserve">ad hoc </w:t>
      </w:r>
      <w:r w:rsidRPr="00CD0105">
        <w:rPr>
          <w:rFonts w:eastAsia="Calibri"/>
        </w:rPr>
        <w:t>group of BSE experts</w:t>
      </w:r>
      <w:r w:rsidR="00DA46D4">
        <w:rPr>
          <w:rFonts w:eastAsia="Calibri"/>
        </w:rPr>
        <w:t xml:space="preserve"> </w:t>
      </w:r>
      <w:r w:rsidR="0098203A" w:rsidRPr="00B2421F">
        <w:rPr>
          <w:rFonts w:eastAsia="Calibri"/>
        </w:rPr>
        <w:t>(</w:t>
      </w:r>
      <w:r w:rsidR="00DA46D4" w:rsidRPr="00B2421F">
        <w:rPr>
          <w:rFonts w:eastAsia="Calibri"/>
        </w:rPr>
        <w:t>Figure 3</w:t>
      </w:r>
      <w:r w:rsidR="0098203A" w:rsidRPr="00B2421F">
        <w:rPr>
          <w:rFonts w:eastAsia="Calibri"/>
        </w:rPr>
        <w:t>)</w:t>
      </w:r>
      <w:r w:rsidRPr="00B2421F">
        <w:rPr>
          <w:rFonts w:eastAsia="Calibri"/>
        </w:rPr>
        <w:t>.</w:t>
      </w:r>
      <w:r w:rsidRPr="00CD0105">
        <w:rPr>
          <w:rFonts w:eastAsia="Calibri"/>
        </w:rPr>
        <w:t xml:space="preserve"> Revised text was drafted and shared with Members for comment, before being updated and recirculated.</w:t>
      </w:r>
      <w:r w:rsidR="004B096B">
        <w:rPr>
          <w:rFonts w:eastAsia="Calibri"/>
        </w:rPr>
        <w:t xml:space="preserve"> This occurred during each of six consultation rounds.</w:t>
      </w:r>
    </w:p>
    <w:p w14:paraId="5643E6AA" w14:textId="7F2DF55B" w:rsidR="00CD0105" w:rsidRPr="00CD0105" w:rsidRDefault="00CD0105" w:rsidP="00EC5A8E">
      <w:pPr>
        <w:rPr>
          <w:rFonts w:eastAsia="Calibri"/>
        </w:rPr>
      </w:pPr>
      <w:r w:rsidRPr="00CD0105">
        <w:rPr>
          <w:rFonts w:eastAsia="Calibri"/>
        </w:rPr>
        <w:t xml:space="preserve">Australia provided comments on the draft chapters across all six consultation rounds prior to their final adoption in May 2023. The consultation rounds occurred as follows: </w:t>
      </w:r>
    </w:p>
    <w:p w14:paraId="6C3264B0" w14:textId="5729609E" w:rsidR="00431EBE" w:rsidRPr="00CD0105" w:rsidRDefault="00431EBE" w:rsidP="001566AF">
      <w:pPr>
        <w:numPr>
          <w:ilvl w:val="0"/>
          <w:numId w:val="14"/>
        </w:numPr>
        <w:spacing w:before="60" w:after="60" w:line="240" w:lineRule="auto"/>
        <w:ind w:left="714" w:hanging="357"/>
        <w:rPr>
          <w:rFonts w:eastAsia="Calibri"/>
        </w:rPr>
      </w:pPr>
      <w:r>
        <w:rPr>
          <w:rFonts w:eastAsia="Calibri"/>
        </w:rPr>
        <w:t>C</w:t>
      </w:r>
      <w:r w:rsidR="00CD0105" w:rsidRPr="00431EBE">
        <w:rPr>
          <w:rFonts w:eastAsia="Calibri"/>
        </w:rPr>
        <w:t>onsultation 1</w:t>
      </w:r>
      <w:r w:rsidRPr="00431EBE">
        <w:rPr>
          <w:rFonts w:eastAsia="Calibri"/>
        </w:rPr>
        <w:t>—</w:t>
      </w:r>
      <w:r w:rsidRPr="00CD0105">
        <w:rPr>
          <w:rFonts w:eastAsia="Calibri"/>
        </w:rPr>
        <w:t>September 2019</w:t>
      </w:r>
    </w:p>
    <w:p w14:paraId="1FDE2C7A" w14:textId="156EC254" w:rsidR="00CD0105" w:rsidRPr="00431EBE" w:rsidRDefault="00DD0B57" w:rsidP="001566AF">
      <w:pPr>
        <w:numPr>
          <w:ilvl w:val="0"/>
          <w:numId w:val="14"/>
        </w:numPr>
        <w:spacing w:before="60" w:after="60" w:line="240" w:lineRule="auto"/>
        <w:ind w:left="714" w:hanging="357"/>
        <w:rPr>
          <w:rFonts w:eastAsia="Calibri"/>
        </w:rPr>
      </w:pPr>
      <w:r>
        <w:rPr>
          <w:rFonts w:eastAsia="Calibri"/>
        </w:rPr>
        <w:t>C</w:t>
      </w:r>
      <w:r w:rsidRPr="00431EBE">
        <w:rPr>
          <w:rFonts w:eastAsia="Calibri"/>
        </w:rPr>
        <w:t>onsultation 2—</w:t>
      </w:r>
      <w:r w:rsidR="00CD0105" w:rsidRPr="00431EBE">
        <w:rPr>
          <w:rFonts w:eastAsia="Calibri"/>
        </w:rPr>
        <w:t>September 2020</w:t>
      </w:r>
    </w:p>
    <w:p w14:paraId="295D19AA" w14:textId="188A6E1D" w:rsidR="00CD0105" w:rsidRPr="00CD0105" w:rsidRDefault="00DD0B57" w:rsidP="001566AF">
      <w:pPr>
        <w:numPr>
          <w:ilvl w:val="0"/>
          <w:numId w:val="14"/>
        </w:numPr>
        <w:spacing w:before="60" w:after="60" w:line="240" w:lineRule="auto"/>
        <w:ind w:left="714" w:hanging="357"/>
        <w:rPr>
          <w:rFonts w:eastAsia="Calibri"/>
        </w:rPr>
      </w:pPr>
      <w:r>
        <w:rPr>
          <w:rFonts w:eastAsia="Calibri"/>
        </w:rPr>
        <w:t>C</w:t>
      </w:r>
      <w:r w:rsidRPr="00431EBE">
        <w:rPr>
          <w:rFonts w:eastAsia="Calibri"/>
        </w:rPr>
        <w:t xml:space="preserve">onsultation </w:t>
      </w:r>
      <w:r>
        <w:rPr>
          <w:rFonts w:eastAsia="Calibri"/>
        </w:rPr>
        <w:t>3</w:t>
      </w:r>
      <w:r w:rsidRPr="00431EBE">
        <w:rPr>
          <w:rFonts w:eastAsia="Calibri"/>
        </w:rPr>
        <w:t>—</w:t>
      </w:r>
      <w:r w:rsidR="00CD0105" w:rsidRPr="00CD0105">
        <w:rPr>
          <w:rFonts w:eastAsia="Calibri"/>
        </w:rPr>
        <w:t>February 2021</w:t>
      </w:r>
    </w:p>
    <w:p w14:paraId="73AE6453" w14:textId="3ABCA887" w:rsidR="00CD0105" w:rsidRPr="00CD0105" w:rsidRDefault="00DD0B57" w:rsidP="001566AF">
      <w:pPr>
        <w:numPr>
          <w:ilvl w:val="0"/>
          <w:numId w:val="14"/>
        </w:numPr>
        <w:spacing w:before="60" w:after="60" w:line="240" w:lineRule="auto"/>
        <w:ind w:left="714" w:hanging="357"/>
        <w:rPr>
          <w:rFonts w:eastAsia="Calibri"/>
        </w:rPr>
      </w:pPr>
      <w:r>
        <w:rPr>
          <w:rFonts w:eastAsia="Calibri"/>
        </w:rPr>
        <w:t>C</w:t>
      </w:r>
      <w:r w:rsidRPr="00431EBE">
        <w:rPr>
          <w:rFonts w:eastAsia="Calibri"/>
        </w:rPr>
        <w:t>onsultation</w:t>
      </w:r>
      <w:r>
        <w:rPr>
          <w:rFonts w:eastAsia="Calibri"/>
        </w:rPr>
        <w:t xml:space="preserve"> 4</w:t>
      </w:r>
      <w:r w:rsidRPr="00431EBE">
        <w:rPr>
          <w:rFonts w:eastAsia="Calibri"/>
        </w:rPr>
        <w:t>—</w:t>
      </w:r>
      <w:r w:rsidR="00CD0105" w:rsidRPr="00CD0105">
        <w:rPr>
          <w:rFonts w:eastAsia="Calibri"/>
        </w:rPr>
        <w:t>September 2021</w:t>
      </w:r>
    </w:p>
    <w:p w14:paraId="044BAEA1" w14:textId="7E46A493" w:rsidR="00CD0105" w:rsidRPr="00CD0105" w:rsidRDefault="00DD0B57" w:rsidP="001566AF">
      <w:pPr>
        <w:numPr>
          <w:ilvl w:val="0"/>
          <w:numId w:val="14"/>
        </w:numPr>
        <w:spacing w:before="60" w:after="60" w:line="240" w:lineRule="auto"/>
        <w:ind w:left="714" w:hanging="357"/>
        <w:rPr>
          <w:rFonts w:eastAsia="Calibri"/>
        </w:rPr>
      </w:pPr>
      <w:r>
        <w:rPr>
          <w:rFonts w:eastAsia="Calibri"/>
        </w:rPr>
        <w:t>C</w:t>
      </w:r>
      <w:r w:rsidRPr="00431EBE">
        <w:rPr>
          <w:rFonts w:eastAsia="Calibri"/>
        </w:rPr>
        <w:t xml:space="preserve">onsultation </w:t>
      </w:r>
      <w:r>
        <w:rPr>
          <w:rFonts w:eastAsia="Calibri"/>
        </w:rPr>
        <w:t>5</w:t>
      </w:r>
      <w:r w:rsidRPr="00431EBE">
        <w:rPr>
          <w:rFonts w:eastAsia="Calibri"/>
        </w:rPr>
        <w:t>—</w:t>
      </w:r>
      <w:r w:rsidR="00CD0105" w:rsidRPr="00CD0105">
        <w:rPr>
          <w:rFonts w:eastAsia="Calibri"/>
        </w:rPr>
        <w:t>February 2022</w:t>
      </w:r>
    </w:p>
    <w:p w14:paraId="66770E4F" w14:textId="13EB5D46" w:rsidR="00CD0105" w:rsidRPr="00CD0105" w:rsidRDefault="00DD0B57" w:rsidP="001566AF">
      <w:pPr>
        <w:numPr>
          <w:ilvl w:val="0"/>
          <w:numId w:val="14"/>
        </w:numPr>
        <w:spacing w:before="60" w:after="60" w:line="240" w:lineRule="auto"/>
        <w:ind w:left="714" w:hanging="357"/>
        <w:rPr>
          <w:rFonts w:eastAsia="Calibri"/>
        </w:rPr>
      </w:pPr>
      <w:r>
        <w:rPr>
          <w:rFonts w:eastAsia="Calibri"/>
        </w:rPr>
        <w:t>C</w:t>
      </w:r>
      <w:r w:rsidRPr="00431EBE">
        <w:rPr>
          <w:rFonts w:eastAsia="Calibri"/>
        </w:rPr>
        <w:t xml:space="preserve">onsultation </w:t>
      </w:r>
      <w:r w:rsidR="00C31514">
        <w:rPr>
          <w:rFonts w:eastAsia="Calibri"/>
        </w:rPr>
        <w:t>6</w:t>
      </w:r>
      <w:r w:rsidRPr="00431EBE">
        <w:rPr>
          <w:rFonts w:eastAsia="Calibri"/>
        </w:rPr>
        <w:t>—</w:t>
      </w:r>
      <w:r w:rsidR="00CD0105" w:rsidRPr="00CD0105">
        <w:rPr>
          <w:rFonts w:eastAsia="Calibri"/>
        </w:rPr>
        <w:t>September 2022</w:t>
      </w:r>
    </w:p>
    <w:p w14:paraId="006CD2E8" w14:textId="3BD577C9" w:rsidR="00CD0105" w:rsidRPr="00CD0105" w:rsidRDefault="00DD0B57" w:rsidP="001566AF">
      <w:pPr>
        <w:numPr>
          <w:ilvl w:val="0"/>
          <w:numId w:val="14"/>
        </w:numPr>
        <w:spacing w:before="60" w:after="60" w:line="240" w:lineRule="auto"/>
        <w:ind w:left="714" w:hanging="357"/>
        <w:rPr>
          <w:rFonts w:eastAsia="Calibri"/>
        </w:rPr>
      </w:pPr>
      <w:r>
        <w:rPr>
          <w:rFonts w:eastAsia="Calibri"/>
        </w:rPr>
        <w:t>C</w:t>
      </w:r>
      <w:r w:rsidRPr="00CD0105">
        <w:rPr>
          <w:rFonts w:eastAsia="Calibri"/>
        </w:rPr>
        <w:t>irculation (for information only)</w:t>
      </w:r>
      <w:r w:rsidRPr="00DD0B57">
        <w:rPr>
          <w:rFonts w:eastAsia="Calibri"/>
        </w:rPr>
        <w:t xml:space="preserve"> </w:t>
      </w:r>
      <w:r w:rsidRPr="00CD0105">
        <w:rPr>
          <w:rFonts w:eastAsia="Calibri"/>
        </w:rPr>
        <w:t>—</w:t>
      </w:r>
      <w:r w:rsidR="00CD0105" w:rsidRPr="00CD0105">
        <w:rPr>
          <w:rFonts w:eastAsia="Calibri"/>
        </w:rPr>
        <w:t>February 2023</w:t>
      </w:r>
    </w:p>
    <w:p w14:paraId="1D9F6D60" w14:textId="77777777" w:rsidR="00602D7C" w:rsidRPr="00CD0105" w:rsidRDefault="00CD0105" w:rsidP="00602D7C">
      <w:pPr>
        <w:rPr>
          <w:rFonts w:eastAsia="Calibri"/>
        </w:rPr>
      </w:pPr>
      <w:r w:rsidRPr="00CD0105">
        <w:rPr>
          <w:rFonts w:eastAsia="Calibri"/>
        </w:rPr>
        <w:t xml:space="preserve">The revised standards were </w:t>
      </w:r>
      <w:r w:rsidR="00C455D2">
        <w:rPr>
          <w:rFonts w:eastAsia="Calibri"/>
        </w:rPr>
        <w:t>adopted in May 2023</w:t>
      </w:r>
      <w:r w:rsidR="00C455D2" w:rsidRPr="00CD0105">
        <w:rPr>
          <w:rFonts w:eastAsia="Calibri"/>
        </w:rPr>
        <w:t xml:space="preserve"> </w:t>
      </w:r>
      <w:r w:rsidR="00553077">
        <w:rPr>
          <w:rFonts w:eastAsia="Calibri"/>
        </w:rPr>
        <w:t>through</w:t>
      </w:r>
      <w:r w:rsidR="00830B63">
        <w:rPr>
          <w:rFonts w:eastAsia="Calibri"/>
        </w:rPr>
        <w:t xml:space="preserve"> a vote of the</w:t>
      </w:r>
      <w:r w:rsidR="00F276C4">
        <w:rPr>
          <w:rFonts w:eastAsia="Calibri"/>
        </w:rPr>
        <w:t xml:space="preserve"> </w:t>
      </w:r>
      <w:r w:rsidR="00F276C4" w:rsidRPr="00CD0105">
        <w:rPr>
          <w:rFonts w:eastAsia="Calibri"/>
        </w:rPr>
        <w:t xml:space="preserve">World Assembly of Delegates at the annual WOAH General </w:t>
      </w:r>
      <w:r w:rsidR="00D33289" w:rsidRPr="00CD0105">
        <w:rPr>
          <w:rFonts w:eastAsia="Calibri"/>
        </w:rPr>
        <w:t>Session</w:t>
      </w:r>
      <w:r w:rsidRPr="00CD0105">
        <w:rPr>
          <w:rFonts w:eastAsia="Calibri"/>
        </w:rPr>
        <w:t xml:space="preserve">. </w:t>
      </w:r>
      <w:r w:rsidR="008D535F">
        <w:rPr>
          <w:rFonts w:eastAsia="Calibri"/>
        </w:rPr>
        <w:t>S</w:t>
      </w:r>
      <w:r w:rsidR="008D535F" w:rsidRPr="00CD0105">
        <w:rPr>
          <w:rFonts w:eastAsia="Calibri"/>
        </w:rPr>
        <w:t>ignificant changes</w:t>
      </w:r>
      <w:r w:rsidR="008D535F">
        <w:rPr>
          <w:rFonts w:eastAsia="Calibri"/>
        </w:rPr>
        <w:t xml:space="preserve"> were </w:t>
      </w:r>
      <w:r w:rsidR="008D535F" w:rsidRPr="00CD0105">
        <w:rPr>
          <w:rFonts w:eastAsia="Calibri"/>
        </w:rPr>
        <w:t xml:space="preserve">introduced, most notably in the trade recommendations and criteria for achieving official status, including a shift from active to passive surveillance. </w:t>
      </w:r>
      <w:r w:rsidR="00DF226C" w:rsidRPr="00CD0105">
        <w:rPr>
          <w:rFonts w:eastAsia="Calibri"/>
        </w:rPr>
        <w:t>While the changes were substantial, they did not negatively impact Australia</w:t>
      </w:r>
      <w:r w:rsidR="00BF1D7E">
        <w:rPr>
          <w:rFonts w:eastAsia="Calibri"/>
        </w:rPr>
        <w:t>—</w:t>
      </w:r>
      <w:r w:rsidRPr="00CD0105">
        <w:rPr>
          <w:rFonts w:eastAsia="Calibri"/>
        </w:rPr>
        <w:t>its official risk status of ‘negligible’ was maintained, with no requirement to make changes to rendering practices.</w:t>
      </w:r>
      <w:r w:rsidR="00010ADE">
        <w:rPr>
          <w:rFonts w:eastAsia="Calibri"/>
        </w:rPr>
        <w:t xml:space="preserve"> </w:t>
      </w:r>
      <w:r w:rsidR="00010ADE" w:rsidRPr="00CD0105">
        <w:rPr>
          <w:rFonts w:eastAsia="Calibri"/>
        </w:rPr>
        <w:t xml:space="preserve">Australia </w:t>
      </w:r>
      <w:r w:rsidR="00010ADE">
        <w:rPr>
          <w:rFonts w:eastAsia="Calibri"/>
        </w:rPr>
        <w:t xml:space="preserve">had </w:t>
      </w:r>
      <w:r w:rsidR="00DF226C">
        <w:rPr>
          <w:rFonts w:eastAsia="Calibri"/>
        </w:rPr>
        <w:t xml:space="preserve">successfully </w:t>
      </w:r>
      <w:r w:rsidR="00010ADE" w:rsidRPr="00CD0105">
        <w:rPr>
          <w:rFonts w:eastAsia="Calibri"/>
        </w:rPr>
        <w:t>mounted a case to the SCAD, that its official status</w:t>
      </w:r>
      <w:r w:rsidR="00602D7C">
        <w:rPr>
          <w:rFonts w:eastAsia="Calibri"/>
        </w:rPr>
        <w:t xml:space="preserve"> </w:t>
      </w:r>
      <w:r w:rsidR="00602D7C" w:rsidRPr="00CD0105">
        <w:rPr>
          <w:rFonts w:eastAsia="Calibri"/>
        </w:rPr>
        <w:t>should be maintained under the new BSE standards.</w:t>
      </w:r>
      <w:r w:rsidR="00602D7C">
        <w:rPr>
          <w:rFonts w:eastAsia="Calibri"/>
        </w:rPr>
        <w:t xml:space="preserve"> However, t</w:t>
      </w:r>
      <w:r w:rsidR="00602D7C" w:rsidRPr="00CD0105">
        <w:rPr>
          <w:rFonts w:eastAsia="Calibri"/>
        </w:rPr>
        <w:t xml:space="preserve">his was not </w:t>
      </w:r>
      <w:r w:rsidR="00602D7C">
        <w:rPr>
          <w:rFonts w:eastAsia="Calibri"/>
        </w:rPr>
        <w:t xml:space="preserve">guaranteed </w:t>
      </w:r>
      <w:r w:rsidR="00602D7C" w:rsidRPr="00CD0105">
        <w:rPr>
          <w:rFonts w:eastAsia="Calibri"/>
        </w:rPr>
        <w:t xml:space="preserve">with the text proposed in several circulations having the potential for major net negative consequences. </w:t>
      </w:r>
    </w:p>
    <w:p w14:paraId="79ADE26D" w14:textId="0833CA07" w:rsidR="008639D3" w:rsidRPr="008073B3" w:rsidRDefault="00010ADE" w:rsidP="008639D3">
      <w:pPr>
        <w:rPr>
          <w:rFonts w:eastAsia="Calibri"/>
          <w:i/>
          <w:iCs/>
        </w:rPr>
        <w:sectPr w:rsidR="008639D3" w:rsidRPr="008073B3" w:rsidSect="008639D3">
          <w:pgSz w:w="11906" w:h="16838"/>
          <w:pgMar w:top="1440" w:right="1797" w:bottom="1440" w:left="1797" w:header="720" w:footer="720" w:gutter="0"/>
          <w:cols w:space="720"/>
        </w:sectPr>
      </w:pPr>
      <w:r w:rsidRPr="00CD0105">
        <w:rPr>
          <w:rFonts w:eastAsia="Calibri"/>
        </w:rPr>
        <w:t xml:space="preserve"> </w:t>
      </w:r>
    </w:p>
    <w:p w14:paraId="54FD5239" w14:textId="68FD4D3F" w:rsidR="008639D3" w:rsidRDefault="00535BF0" w:rsidP="0066057C">
      <w:r w:rsidRPr="0066057C">
        <w:rPr>
          <w:noProof/>
        </w:rPr>
        <w:lastRenderedPageBreak/>
        <w:drawing>
          <wp:inline distT="0" distB="0" distL="0" distR="0" wp14:anchorId="12C7DEE4" wp14:editId="69FFD725">
            <wp:extent cx="9673590" cy="4088765"/>
            <wp:effectExtent l="19050" t="19050" r="22860" b="26035"/>
            <wp:docPr id="3912935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31">
                      <a:extLst>
                        <a:ext uri="{28A0092B-C50C-407E-A947-70E740481C1C}">
                          <a14:useLocalDpi xmlns:a14="http://schemas.microsoft.com/office/drawing/2010/main" val="0"/>
                        </a:ext>
                      </a:extLst>
                    </a:blip>
                    <a:srcRect r="1106"/>
                    <a:stretch>
                      <a:fillRect/>
                    </a:stretch>
                  </pic:blipFill>
                  <pic:spPr bwMode="auto">
                    <a:xfrm>
                      <a:off x="0" y="0"/>
                      <a:ext cx="9737360" cy="4115719"/>
                    </a:xfrm>
                    <a:prstGeom prst="rect">
                      <a:avLst/>
                    </a:prstGeom>
                    <a:noFill/>
                    <a:ln w="9525" cap="flat" cmpd="sng" algn="ctr">
                      <a:solidFill>
                        <a:schemeClr val="bg1">
                          <a:lumMod val="85000"/>
                        </a:scheme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AE67DF2" w14:textId="162F2C1C" w:rsidR="00657CDF" w:rsidRDefault="00657CDF" w:rsidP="00657CDF">
      <w:pPr>
        <w:pStyle w:val="Caption"/>
      </w:pPr>
      <w:bookmarkStart w:id="46" w:name="_Toc206083809"/>
      <w:r>
        <w:t xml:space="preserve">Figure </w:t>
      </w:r>
      <w:r>
        <w:fldChar w:fldCharType="begin"/>
      </w:r>
      <w:r>
        <w:instrText xml:space="preserve"> SEQ Figure \* ARABIC </w:instrText>
      </w:r>
      <w:r>
        <w:fldChar w:fldCharType="separate"/>
      </w:r>
      <w:r w:rsidR="003D357A">
        <w:rPr>
          <w:noProof/>
        </w:rPr>
        <w:t>2</w:t>
      </w:r>
      <w:r>
        <w:fldChar w:fldCharType="end"/>
      </w:r>
      <w:r>
        <w:t xml:space="preserve">. </w:t>
      </w:r>
      <w:r w:rsidRPr="00D952B5">
        <w:t>Timeline of the standard revision process by activity and organisation</w:t>
      </w:r>
      <w:bookmarkEnd w:id="46"/>
    </w:p>
    <w:p w14:paraId="3EC8F04B" w14:textId="77777777" w:rsidR="00657CDF" w:rsidRDefault="00657CDF" w:rsidP="0066057C">
      <w:pPr>
        <w:rPr>
          <w:rFonts w:eastAsia="Calibri"/>
        </w:rPr>
      </w:pPr>
    </w:p>
    <w:p w14:paraId="154841A8" w14:textId="77777777" w:rsidR="008639D3" w:rsidRDefault="008639D3" w:rsidP="008639D3">
      <w:pPr>
        <w:rPr>
          <w:rFonts w:eastAsia="Calibri"/>
        </w:rPr>
      </w:pPr>
    </w:p>
    <w:p w14:paraId="100B818E" w14:textId="77777777" w:rsidR="008639D3" w:rsidRPr="00535BF0" w:rsidRDefault="008639D3" w:rsidP="008639D3">
      <w:pPr>
        <w:rPr>
          <w:rFonts w:eastAsia="Calibri"/>
          <w:sz w:val="22"/>
          <w:szCs w:val="22"/>
        </w:rPr>
        <w:sectPr w:rsidR="008639D3" w:rsidRPr="00535BF0" w:rsidSect="008639D3">
          <w:pgSz w:w="16838" w:h="11906" w:orient="landscape"/>
          <w:pgMar w:top="1797" w:right="1440" w:bottom="1797" w:left="1440" w:header="720" w:footer="720" w:gutter="0"/>
          <w:cols w:space="720"/>
          <w:docGrid w:linePitch="326"/>
        </w:sectPr>
      </w:pPr>
    </w:p>
    <w:p w14:paraId="6F441B6E" w14:textId="01624ABD" w:rsidR="00C70C97" w:rsidRPr="00CD0105" w:rsidRDefault="007244E5" w:rsidP="00C70C97">
      <w:pPr>
        <w:pStyle w:val="Heading3"/>
        <w:rPr>
          <w:rFonts w:eastAsia="Calibri"/>
        </w:rPr>
      </w:pPr>
      <w:r w:rsidRPr="007244E5">
        <w:rPr>
          <w:rFonts w:eastAsia="Calibri"/>
          <w:noProof/>
        </w:rPr>
        <w:lastRenderedPageBreak/>
        <mc:AlternateContent>
          <mc:Choice Requires="wps">
            <w:drawing>
              <wp:anchor distT="45720" distB="45720" distL="114300" distR="114300" simplePos="0" relativeHeight="251662336" behindDoc="0" locked="0" layoutInCell="1" allowOverlap="1" wp14:anchorId="48B6DF03" wp14:editId="6DB78FA2">
                <wp:simplePos x="0" y="0"/>
                <wp:positionH relativeFrom="margin">
                  <wp:posOffset>14605</wp:posOffset>
                </wp:positionH>
                <wp:positionV relativeFrom="paragraph">
                  <wp:posOffset>182880</wp:posOffset>
                </wp:positionV>
                <wp:extent cx="5742305" cy="4308475"/>
                <wp:effectExtent l="0" t="0" r="0" b="0"/>
                <wp:wrapSquare wrapText="bothSides"/>
                <wp:docPr id="8706251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305" cy="4308475"/>
                        </a:xfrm>
                        <a:prstGeom prst="rect">
                          <a:avLst/>
                        </a:prstGeom>
                        <a:solidFill>
                          <a:srgbClr val="FFFFFF"/>
                        </a:solidFill>
                        <a:ln w="9525">
                          <a:noFill/>
                          <a:miter lim="800000"/>
                          <a:headEnd/>
                          <a:tailEnd/>
                        </a:ln>
                      </wps:spPr>
                      <wps:txbx>
                        <w:txbxContent>
                          <w:p w14:paraId="1C5B4B7E" w14:textId="37E8754A" w:rsidR="007244E5" w:rsidRDefault="00417AF7">
                            <w:r w:rsidRPr="00F204CF">
                              <w:rPr>
                                <w:noProof/>
                              </w:rPr>
                              <w:drawing>
                                <wp:inline distT="0" distB="0" distL="0" distR="0" wp14:anchorId="5855C8DB" wp14:editId="168ED3B9">
                                  <wp:extent cx="5433231" cy="3430829"/>
                                  <wp:effectExtent l="0" t="0" r="0" b="0"/>
                                  <wp:docPr id="2052401286"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997272" name="Picture 1" descr="A diagram of a company&#10;&#10;AI-generated content may be incorrect."/>
                                          <pic:cNvPicPr>
                                            <a:picLocks noChangeAspect="1" noChangeArrowheads="1"/>
                                          </pic:cNvPicPr>
                                        </pic:nvPicPr>
                                        <pic:blipFill rotWithShape="1">
                                          <a:blip r:embed="rId32">
                                            <a:extLst>
                                              <a:ext uri="{28A0092B-C50C-407E-A947-70E740481C1C}">
                                                <a14:useLocalDpi xmlns:a14="http://schemas.microsoft.com/office/drawing/2010/main" val="0"/>
                                              </a:ext>
                                            </a:extLst>
                                          </a:blip>
                                          <a:srcRect l="3879" r="7043"/>
                                          <a:stretch/>
                                        </pic:blipFill>
                                        <pic:spPr bwMode="auto">
                                          <a:xfrm>
                                            <a:off x="0" y="0"/>
                                            <a:ext cx="5444638" cy="3438032"/>
                                          </a:xfrm>
                                          <a:prstGeom prst="rect">
                                            <a:avLst/>
                                          </a:prstGeom>
                                          <a:noFill/>
                                          <a:ln>
                                            <a:noFill/>
                                          </a:ln>
                                          <a:extLst>
                                            <a:ext uri="{53640926-AAD7-44D8-BBD7-CCE9431645EC}">
                                              <a14:shadowObscured xmlns:a14="http://schemas.microsoft.com/office/drawing/2010/main"/>
                                            </a:ext>
                                          </a:extLst>
                                        </pic:spPr>
                                      </pic:pic>
                                    </a:graphicData>
                                  </a:graphic>
                                </wp:inline>
                              </w:drawing>
                            </w:r>
                          </w:p>
                          <w:p w14:paraId="5948701A" w14:textId="147E0FED" w:rsidR="00417AF7" w:rsidRDefault="00657CDF" w:rsidP="00657CDF">
                            <w:pPr>
                              <w:pStyle w:val="Caption"/>
                            </w:pPr>
                            <w:bookmarkStart w:id="47" w:name="_Toc206083810"/>
                            <w:r>
                              <w:t xml:space="preserve">Figure </w:t>
                            </w:r>
                            <w:r>
                              <w:fldChar w:fldCharType="begin"/>
                            </w:r>
                            <w:r>
                              <w:instrText xml:space="preserve"> SEQ Figure \* ARABIC </w:instrText>
                            </w:r>
                            <w:r>
                              <w:fldChar w:fldCharType="separate"/>
                            </w:r>
                            <w:r w:rsidR="003D357A">
                              <w:rPr>
                                <w:noProof/>
                              </w:rPr>
                              <w:t>3</w:t>
                            </w:r>
                            <w:r>
                              <w:fldChar w:fldCharType="end"/>
                            </w:r>
                            <w:r>
                              <w:t>. WOAH standard setting processes</w:t>
                            </w:r>
                            <w:bookmarkEnd w:id="47"/>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B6DF03" id="_x0000_s1028" type="#_x0000_t202" style="position:absolute;left:0;text-align:left;margin-left:1.15pt;margin-top:14.4pt;width:452.15pt;height:339.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" stroked="f">
                <v:textbox>
                  <w:txbxContent>
                    <w:p w14:paraId="1C5B4B7E" w14:textId="37E8754A" w:rsidR="007244E5" w:rsidRDefault="00417AF7">
                      <w:r w:rsidRPr="00F204CF">
                        <w:rPr>
                          <w:noProof/>
                        </w:rPr>
                        <w:drawing>
                          <wp:inline distT="0" distB="0" distL="0" distR="0" wp14:anchorId="5855C8DB" wp14:editId="168ED3B9">
                            <wp:extent cx="5433231" cy="3430829"/>
                            <wp:effectExtent l="0" t="0" r="0" b="0"/>
                            <wp:docPr id="2052401286"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997272" name="Picture 1" descr="A diagram of a company&#10;&#10;AI-generated content may be incorrect."/>
                                    <pic:cNvPicPr>
                                      <a:picLocks noChangeAspect="1" noChangeArrowheads="1"/>
                                    </pic:cNvPicPr>
                                  </pic:nvPicPr>
                                  <pic:blipFill rotWithShape="1">
                                    <a:blip r:embed="rId32">
                                      <a:extLst>
                                        <a:ext uri="{28A0092B-C50C-407E-A947-70E740481C1C}">
                                          <a14:useLocalDpi xmlns:a14="http://schemas.microsoft.com/office/drawing/2010/main" val="0"/>
                                        </a:ext>
                                      </a:extLst>
                                    </a:blip>
                                    <a:srcRect l="3879" r="7043"/>
                                    <a:stretch/>
                                  </pic:blipFill>
                                  <pic:spPr bwMode="auto">
                                    <a:xfrm>
                                      <a:off x="0" y="0"/>
                                      <a:ext cx="5444638" cy="3438032"/>
                                    </a:xfrm>
                                    <a:prstGeom prst="rect">
                                      <a:avLst/>
                                    </a:prstGeom>
                                    <a:noFill/>
                                    <a:ln>
                                      <a:noFill/>
                                    </a:ln>
                                    <a:extLst>
                                      <a:ext uri="{53640926-AAD7-44D8-BBD7-CCE9431645EC}">
                                        <a14:shadowObscured xmlns:a14="http://schemas.microsoft.com/office/drawing/2010/main"/>
                                      </a:ext>
                                    </a:extLst>
                                  </pic:spPr>
                                </pic:pic>
                              </a:graphicData>
                            </a:graphic>
                          </wp:inline>
                        </w:drawing>
                      </w:r>
                    </w:p>
                    <w:p w14:paraId="5948701A" w14:textId="147E0FED" w:rsidR="00417AF7" w:rsidRDefault="00657CDF" w:rsidP="00657CDF">
                      <w:pPr>
                        <w:pStyle w:val="Caption"/>
                      </w:pPr>
                      <w:bookmarkStart w:id="48" w:name="_Toc206083810"/>
                      <w:r>
                        <w:t xml:space="preserve">Figure </w:t>
                      </w:r>
                      <w:r>
                        <w:fldChar w:fldCharType="begin"/>
                      </w:r>
                      <w:r>
                        <w:instrText xml:space="preserve"> SEQ Figure \* ARABIC </w:instrText>
                      </w:r>
                      <w:r>
                        <w:fldChar w:fldCharType="separate"/>
                      </w:r>
                      <w:r w:rsidR="003D357A">
                        <w:rPr>
                          <w:noProof/>
                        </w:rPr>
                        <w:t>3</w:t>
                      </w:r>
                      <w:r>
                        <w:fldChar w:fldCharType="end"/>
                      </w:r>
                      <w:r>
                        <w:t>. WOAH standard setting processes</w:t>
                      </w:r>
                      <w:bookmarkEnd w:id="48"/>
                    </w:p>
                  </w:txbxContent>
                </v:textbox>
                <w10:wrap type="square" anchorx="margin"/>
              </v:shape>
            </w:pict>
          </mc:Fallback>
        </mc:AlternateContent>
      </w:r>
      <w:r w:rsidR="00C70C97" w:rsidRPr="00CD0105">
        <w:rPr>
          <w:rFonts w:eastAsia="Calibri"/>
        </w:rPr>
        <w:t>Potential negative outcomes to Australia from standard revision</w:t>
      </w:r>
    </w:p>
    <w:p w14:paraId="22DD489E" w14:textId="77777777" w:rsidR="00C70C97" w:rsidRPr="00CD0105" w:rsidRDefault="00C70C97" w:rsidP="00C70C97">
      <w:pPr>
        <w:spacing w:before="60" w:after="60"/>
        <w:rPr>
          <w:rFonts w:eastAsia="Calibri"/>
        </w:rPr>
      </w:pPr>
      <w:r w:rsidRPr="00CD0105">
        <w:rPr>
          <w:rFonts w:eastAsia="Calibri"/>
        </w:rPr>
        <w:t xml:space="preserve">While it seemed inconceivable that Australia would not maintain a negligible risk status based on historical freedom and a highly regarded animal health system, there was a real possibility that negative determinations on Australia’s BSE control systems or status would occur, at a cost to the </w:t>
      </w:r>
      <w:r>
        <w:rPr>
          <w:rFonts w:eastAsia="Calibri"/>
        </w:rPr>
        <w:t>Australian</w:t>
      </w:r>
      <w:r w:rsidRPr="00CD0105">
        <w:rPr>
          <w:rFonts w:eastAsia="Calibri"/>
        </w:rPr>
        <w:t xml:space="preserve"> beef industry. </w:t>
      </w:r>
    </w:p>
    <w:p w14:paraId="3B5F8D23" w14:textId="39357987" w:rsidR="00011696" w:rsidRDefault="00CD0105" w:rsidP="001566AF">
      <w:pPr>
        <w:rPr>
          <w:rFonts w:eastAsia="Calibri"/>
        </w:rPr>
      </w:pPr>
      <w:r w:rsidRPr="00CD0105">
        <w:rPr>
          <w:rFonts w:eastAsia="Calibri"/>
        </w:rPr>
        <w:t xml:space="preserve">Included in the revision was the criteria for achieving official status. The </w:t>
      </w:r>
      <w:r w:rsidR="004B096B">
        <w:rPr>
          <w:rFonts w:eastAsia="Calibri"/>
        </w:rPr>
        <w:t xml:space="preserve">potential </w:t>
      </w:r>
      <w:r w:rsidRPr="00CD0105">
        <w:rPr>
          <w:rFonts w:eastAsia="Calibri"/>
        </w:rPr>
        <w:t xml:space="preserve">outcomes of standard revision ranged from the retention of Australia’s negligible risk status for BSE (a positive), to various negative outcomes including the loss of status, to a need to implement production and processing measures that had previously not been required. Four plausible negative outcomes are now described. Each negative outcome is related to specific articles that were considered during </w:t>
      </w:r>
      <w:r w:rsidR="004B096B">
        <w:rPr>
          <w:rFonts w:eastAsia="Calibri"/>
        </w:rPr>
        <w:t xml:space="preserve">the </w:t>
      </w:r>
      <w:r w:rsidRPr="00CD0105">
        <w:rPr>
          <w:rFonts w:eastAsia="Calibri"/>
        </w:rPr>
        <w:t>standard revision process. The implications (costs) of each outcome for the Australian beef industry are also described, along with the organisation from whom data w</w:t>
      </w:r>
      <w:r w:rsidR="004B096B">
        <w:rPr>
          <w:rFonts w:eastAsia="Calibri"/>
        </w:rPr>
        <w:t>as</w:t>
      </w:r>
      <w:r w:rsidRPr="00CD0105">
        <w:rPr>
          <w:rFonts w:eastAsia="Calibri"/>
        </w:rPr>
        <w:t xml:space="preserve"> sought in order to undertake the economic analysis of each outcome.</w:t>
      </w:r>
    </w:p>
    <w:p w14:paraId="53840563" w14:textId="77777777" w:rsidR="00011696" w:rsidRDefault="00011696">
      <w:pPr>
        <w:spacing w:before="0" w:after="0" w:line="240" w:lineRule="auto"/>
        <w:jc w:val="left"/>
        <w:rPr>
          <w:rFonts w:eastAsia="Calibri"/>
        </w:rPr>
      </w:pPr>
      <w:r>
        <w:rPr>
          <w:rFonts w:eastAsia="Calibri"/>
        </w:rPr>
        <w:br w:type="page"/>
      </w:r>
    </w:p>
    <w:p w14:paraId="695E20A8" w14:textId="0408278C" w:rsidR="00C801B6" w:rsidRPr="00C801B6" w:rsidRDefault="00C801B6" w:rsidP="004A22B0">
      <w:pPr>
        <w:spacing w:before="0" w:line="240" w:lineRule="auto"/>
        <w:rPr>
          <w:rFonts w:eastAsia="Calibri"/>
          <w:i/>
        </w:rPr>
      </w:pPr>
      <w:r w:rsidRPr="00C801B6">
        <w:rPr>
          <w:rFonts w:eastAsia="Calibri"/>
          <w:i/>
        </w:rPr>
        <w:lastRenderedPageBreak/>
        <w:t>Outcome 1</w:t>
      </w:r>
    </w:p>
    <w:tbl>
      <w:tblPr>
        <w:tblStyle w:val="TableGrid3"/>
        <w:tblW w:w="0" w:type="auto"/>
        <w:tblLook w:val="04A0" w:firstRow="1" w:lastRow="0" w:firstColumn="1" w:lastColumn="0" w:noHBand="0" w:noVBand="1"/>
      </w:tblPr>
      <w:tblGrid>
        <w:gridCol w:w="1382"/>
        <w:gridCol w:w="6920"/>
      </w:tblGrid>
      <w:tr w:rsidR="00CD0105" w:rsidRPr="00CD0105" w14:paraId="758EE6FB" w14:textId="77777777" w:rsidTr="00CD0105">
        <w:tc>
          <w:tcPr>
            <w:tcW w:w="1413" w:type="dxa"/>
            <w:shd w:val="clear" w:color="auto" w:fill="D9D9D9"/>
          </w:tcPr>
          <w:p w14:paraId="2EF02A8B" w14:textId="77777777" w:rsidR="00CD0105" w:rsidRPr="00CD0105" w:rsidRDefault="00CD0105" w:rsidP="00CD0105">
            <w:pPr>
              <w:spacing w:before="60" w:after="60" w:line="240" w:lineRule="auto"/>
              <w:jc w:val="left"/>
              <w:rPr>
                <w:b/>
                <w:bCs/>
              </w:rPr>
            </w:pPr>
            <w:r w:rsidRPr="00CD0105">
              <w:rPr>
                <w:b/>
                <w:bCs/>
              </w:rPr>
              <w:t>Outcome 1</w:t>
            </w:r>
          </w:p>
        </w:tc>
        <w:tc>
          <w:tcPr>
            <w:tcW w:w="7603" w:type="dxa"/>
            <w:shd w:val="clear" w:color="auto" w:fill="D9D9D9"/>
          </w:tcPr>
          <w:p w14:paraId="4E9CEF23" w14:textId="77777777" w:rsidR="00CD0105" w:rsidRPr="00CD0105" w:rsidRDefault="00CD0105" w:rsidP="00CD0105">
            <w:pPr>
              <w:spacing w:before="60" w:after="60" w:line="240" w:lineRule="auto"/>
              <w:jc w:val="left"/>
              <w:rPr>
                <w:b/>
                <w:bCs/>
              </w:rPr>
            </w:pPr>
            <w:r w:rsidRPr="00CD0105">
              <w:rPr>
                <w:b/>
                <w:bCs/>
              </w:rPr>
              <w:t>Loss of negligible risk status</w:t>
            </w:r>
          </w:p>
        </w:tc>
      </w:tr>
      <w:tr w:rsidR="00CD0105" w:rsidRPr="00CD0105" w14:paraId="4EDC88E0" w14:textId="77777777" w:rsidTr="00CF6EE3">
        <w:tc>
          <w:tcPr>
            <w:tcW w:w="1413" w:type="dxa"/>
          </w:tcPr>
          <w:p w14:paraId="06402027" w14:textId="77777777" w:rsidR="00CD0105" w:rsidRPr="00CD0105" w:rsidRDefault="00CD0105" w:rsidP="00CD0105">
            <w:pPr>
              <w:spacing w:before="60" w:after="60" w:line="240" w:lineRule="auto"/>
              <w:jc w:val="left"/>
            </w:pPr>
            <w:r w:rsidRPr="00CD0105">
              <w:t>Situation</w:t>
            </w:r>
          </w:p>
        </w:tc>
        <w:tc>
          <w:tcPr>
            <w:tcW w:w="7603" w:type="dxa"/>
          </w:tcPr>
          <w:p w14:paraId="651E1A1C" w14:textId="77777777" w:rsidR="00CD0105" w:rsidRPr="00CD0105" w:rsidRDefault="00CD0105" w:rsidP="00CD0105">
            <w:pPr>
              <w:spacing w:before="60" w:after="60" w:line="240" w:lineRule="auto"/>
              <w:jc w:val="left"/>
            </w:pPr>
            <w:r w:rsidRPr="00CD0105">
              <w:t>Australia’s official BSE risk status is downgraded from negligible to controlled</w:t>
            </w:r>
          </w:p>
        </w:tc>
      </w:tr>
      <w:tr w:rsidR="00CD0105" w:rsidRPr="00F750BC" w14:paraId="01A07737" w14:textId="77777777" w:rsidTr="00CF6EE3">
        <w:tc>
          <w:tcPr>
            <w:tcW w:w="1413" w:type="dxa"/>
          </w:tcPr>
          <w:p w14:paraId="7D7BD802" w14:textId="77777777" w:rsidR="00CD0105" w:rsidRPr="00F750BC" w:rsidRDefault="00CD0105" w:rsidP="00CD0105">
            <w:pPr>
              <w:spacing w:before="60" w:after="60" w:line="240" w:lineRule="auto"/>
              <w:jc w:val="left"/>
            </w:pPr>
            <w:r w:rsidRPr="00F750BC">
              <w:t>Duration</w:t>
            </w:r>
          </w:p>
        </w:tc>
        <w:tc>
          <w:tcPr>
            <w:tcW w:w="7603" w:type="dxa"/>
          </w:tcPr>
          <w:p w14:paraId="131AAE61" w14:textId="7A395550" w:rsidR="00CD0105" w:rsidRPr="00F750BC" w:rsidRDefault="00D5113C" w:rsidP="00CD0105">
            <w:pPr>
              <w:spacing w:before="60" w:after="60" w:line="240" w:lineRule="auto"/>
              <w:jc w:val="left"/>
            </w:pPr>
            <w:r w:rsidRPr="00F750BC">
              <w:t>U</w:t>
            </w:r>
            <w:r w:rsidR="00A211CC" w:rsidRPr="00F750BC">
              <w:t>ntil negligible risk status is regained</w:t>
            </w:r>
            <w:r w:rsidR="00332A8C" w:rsidRPr="00F750BC">
              <w:t xml:space="preserve">; for at least the preceding 8 years, Australia must meet the conditions </w:t>
            </w:r>
            <w:r w:rsidR="009A2005" w:rsidRPr="00F750BC">
              <w:t xml:space="preserve">set out in </w:t>
            </w:r>
            <w:r w:rsidR="00676F75" w:rsidRPr="00F750BC">
              <w:t>WOAH Terrestrial Code</w:t>
            </w:r>
            <w:r w:rsidR="00AA37E2" w:rsidRPr="00F750BC">
              <w:t xml:space="preserve"> </w:t>
            </w:r>
            <w:r w:rsidR="009A2005" w:rsidRPr="00F750BC">
              <w:t xml:space="preserve">Article </w:t>
            </w:r>
            <w:r w:rsidR="00AA37E2" w:rsidRPr="00F750BC">
              <w:t>11.4.</w:t>
            </w:r>
            <w:r w:rsidR="009A2005" w:rsidRPr="00F750BC">
              <w:t>4.</w:t>
            </w:r>
          </w:p>
        </w:tc>
      </w:tr>
      <w:tr w:rsidR="00CD0105" w:rsidRPr="00F750BC" w14:paraId="1EA648D7" w14:textId="77777777" w:rsidTr="001E0608">
        <w:tc>
          <w:tcPr>
            <w:tcW w:w="1413" w:type="dxa"/>
          </w:tcPr>
          <w:p w14:paraId="040A2066" w14:textId="77777777" w:rsidR="00CD0105" w:rsidRPr="00F750BC" w:rsidRDefault="00CD0105" w:rsidP="00CD0105">
            <w:pPr>
              <w:spacing w:before="60" w:after="60" w:line="240" w:lineRule="auto"/>
              <w:jc w:val="left"/>
            </w:pPr>
            <w:r w:rsidRPr="00F750BC">
              <w:t>Cause</w:t>
            </w:r>
          </w:p>
        </w:tc>
        <w:tc>
          <w:tcPr>
            <w:tcW w:w="7603" w:type="dxa"/>
            <w:vAlign w:val="center"/>
          </w:tcPr>
          <w:p w14:paraId="13898B00" w14:textId="05BA319F" w:rsidR="00CD0105" w:rsidRPr="00F750BC" w:rsidRDefault="002E3774" w:rsidP="001E0608">
            <w:pPr>
              <w:spacing w:before="60" w:after="60" w:line="240" w:lineRule="auto"/>
              <w:jc w:val="left"/>
            </w:pPr>
            <w:r w:rsidRPr="00F750BC">
              <w:t>Australia not deemed to pass exposure assessment</w:t>
            </w:r>
            <w:r w:rsidR="005B26A6" w:rsidRPr="00F750BC">
              <w:t xml:space="preserve"> or other provisions within the draft WOAH BSE standards</w:t>
            </w:r>
          </w:p>
        </w:tc>
      </w:tr>
      <w:tr w:rsidR="00CD0105" w:rsidRPr="00F750BC" w14:paraId="0E7CEBD8" w14:textId="77777777" w:rsidTr="00CF6EE3">
        <w:tc>
          <w:tcPr>
            <w:tcW w:w="1413" w:type="dxa"/>
          </w:tcPr>
          <w:p w14:paraId="6C451F66" w14:textId="77777777" w:rsidR="00CD0105" w:rsidRPr="00F750BC" w:rsidRDefault="00CD0105" w:rsidP="00CD0105">
            <w:pPr>
              <w:spacing w:before="60" w:after="60" w:line="240" w:lineRule="auto"/>
              <w:jc w:val="left"/>
            </w:pPr>
            <w:r w:rsidRPr="00F750BC">
              <w:t>Reference</w:t>
            </w:r>
          </w:p>
        </w:tc>
        <w:tc>
          <w:tcPr>
            <w:tcW w:w="7603" w:type="dxa"/>
          </w:tcPr>
          <w:p w14:paraId="32D2806B" w14:textId="77777777" w:rsidR="00CD0105" w:rsidRPr="00F750BC" w:rsidRDefault="00CD0105" w:rsidP="00CD0105">
            <w:pPr>
              <w:spacing w:before="60" w:after="60" w:line="240" w:lineRule="auto"/>
              <w:jc w:val="left"/>
            </w:pPr>
            <w:r w:rsidRPr="00F750BC">
              <w:t xml:space="preserve">Article 11.4.1 (Atypical BSE added to international standards) </w:t>
            </w:r>
          </w:p>
          <w:p w14:paraId="50956628" w14:textId="77777777" w:rsidR="00CD0105" w:rsidRPr="00F750BC" w:rsidRDefault="00CD0105" w:rsidP="00CD0105">
            <w:pPr>
              <w:spacing w:before="60" w:after="60" w:line="240" w:lineRule="auto"/>
              <w:jc w:val="left"/>
            </w:pPr>
            <w:r w:rsidRPr="00F750BC">
              <w:t>Article 1.8.5, Point 2 (Exposure assessment necessary)</w:t>
            </w:r>
          </w:p>
        </w:tc>
      </w:tr>
    </w:tbl>
    <w:p w14:paraId="06BDCD45" w14:textId="77777777" w:rsidR="00011696" w:rsidRDefault="00011696" w:rsidP="00E57DBE">
      <w:pPr>
        <w:rPr>
          <w:rFonts w:eastAsia="Calibri"/>
        </w:rPr>
      </w:pPr>
    </w:p>
    <w:p w14:paraId="19EEC27C" w14:textId="51A01E78" w:rsidR="00CD0105" w:rsidRPr="00F750BC" w:rsidRDefault="00CD0105" w:rsidP="00E57DBE">
      <w:pPr>
        <w:rPr>
          <w:rFonts w:eastAsia="Calibri"/>
        </w:rPr>
      </w:pPr>
      <w:r w:rsidRPr="00F750BC">
        <w:rPr>
          <w:rFonts w:eastAsia="Calibri"/>
        </w:rPr>
        <w:t xml:space="preserve">Previously, a country could achieve negligible risk status through a successful entry </w:t>
      </w:r>
      <w:r w:rsidRPr="00F750BC">
        <w:rPr>
          <w:rFonts w:eastAsia="Calibri"/>
          <w:u w:val="single"/>
        </w:rPr>
        <w:t>or</w:t>
      </w:r>
      <w:r w:rsidRPr="00F750BC">
        <w:rPr>
          <w:rFonts w:eastAsia="Calibri"/>
        </w:rPr>
        <w:t xml:space="preserve"> exposure assessment. Australia’s negligible risk status has been based on our historical freedom and effective border controls. The successful entry assessment meant that no exposure assessment was necessary.  </w:t>
      </w:r>
    </w:p>
    <w:p w14:paraId="77A7D241" w14:textId="20689E7E" w:rsidR="00CD0105" w:rsidRPr="00F750BC" w:rsidRDefault="00CD0105" w:rsidP="00E57DBE">
      <w:pPr>
        <w:rPr>
          <w:rFonts w:eastAsia="Calibri"/>
        </w:rPr>
      </w:pPr>
      <w:r w:rsidRPr="00F750BC">
        <w:rPr>
          <w:rFonts w:eastAsia="Calibri"/>
        </w:rPr>
        <w:t xml:space="preserve">This standard revision process proposed for the first time that atypical BSE </w:t>
      </w:r>
      <w:r w:rsidR="00E90AB5" w:rsidRPr="00F750BC">
        <w:rPr>
          <w:rFonts w:eastAsia="Calibri"/>
        </w:rPr>
        <w:t xml:space="preserve">be </w:t>
      </w:r>
      <w:r w:rsidRPr="00F750BC">
        <w:rPr>
          <w:rFonts w:eastAsia="Calibri"/>
        </w:rPr>
        <w:t xml:space="preserve">included in the risk assessment process. Accordingly, the draft of Chapter 1.8 stated: </w:t>
      </w:r>
    </w:p>
    <w:p w14:paraId="7C3A0531" w14:textId="77777777" w:rsidR="00CD0105" w:rsidRPr="00CD0105" w:rsidRDefault="00CD0105" w:rsidP="00782858">
      <w:pPr>
        <w:spacing w:line="240" w:lineRule="auto"/>
        <w:ind w:left="567"/>
        <w:rPr>
          <w:rFonts w:eastAsia="Calibri"/>
          <w:i/>
          <w:iCs/>
        </w:rPr>
      </w:pPr>
      <w:r w:rsidRPr="00F750BC">
        <w:rPr>
          <w:rFonts w:eastAsia="Calibri"/>
          <w:i/>
          <w:iCs/>
        </w:rPr>
        <w:t>Considering that atypical BSE may potentially be capable of being recycled in a cattle population if cattle were to be exposed to contaminated feed, it is necessary to undertake an exposure assessment regardless of the outcome of the entry assessment.</w:t>
      </w:r>
    </w:p>
    <w:p w14:paraId="7C058183" w14:textId="66BBC494" w:rsidR="00962D40" w:rsidRPr="00CD0105" w:rsidRDefault="00962D40" w:rsidP="00962D40">
      <w:pPr>
        <w:rPr>
          <w:rFonts w:eastAsia="Calibri"/>
        </w:rPr>
      </w:pPr>
      <w:r w:rsidRPr="00CD0105">
        <w:rPr>
          <w:rFonts w:eastAsia="Calibri"/>
        </w:rPr>
        <w:t xml:space="preserve">In anticipation of the revised standards being adopted, </w:t>
      </w:r>
      <w:r w:rsidR="00471D2B" w:rsidRPr="00471D2B">
        <w:rPr>
          <w:rFonts w:eastAsia="Calibri"/>
        </w:rPr>
        <w:t>WOAH commenced an assessment, primarily on exposure risk, for negligible risk countries that generally relied on entry assessment, such as Australia</w:t>
      </w:r>
      <w:r w:rsidR="00F71121">
        <w:rPr>
          <w:rFonts w:eastAsia="Calibri"/>
        </w:rPr>
        <w:t>.</w:t>
      </w:r>
      <w:r w:rsidR="00471D2B" w:rsidRPr="00471D2B" w:rsidDel="00471D2B">
        <w:rPr>
          <w:rFonts w:eastAsia="Calibri"/>
        </w:rPr>
        <w:t xml:space="preserve"> </w:t>
      </w:r>
      <w:r w:rsidRPr="00CD0105">
        <w:rPr>
          <w:rFonts w:eastAsia="Calibri"/>
        </w:rPr>
        <w:t xml:space="preserve">This commenced with 18 members in March 2019. </w:t>
      </w:r>
    </w:p>
    <w:p w14:paraId="7A467D84" w14:textId="06228C2E" w:rsidR="00962D40" w:rsidRPr="00CD0105" w:rsidRDefault="00962D40" w:rsidP="00962D40">
      <w:pPr>
        <w:rPr>
          <w:rFonts w:eastAsia="Calibri"/>
        </w:rPr>
      </w:pPr>
      <w:r w:rsidRPr="00CD0105">
        <w:rPr>
          <w:rFonts w:eastAsia="Calibri"/>
        </w:rPr>
        <w:t xml:space="preserve">WOAH’s </w:t>
      </w:r>
      <w:r w:rsidR="00131CF4">
        <w:rPr>
          <w:rFonts w:eastAsia="Calibri"/>
        </w:rPr>
        <w:t xml:space="preserve">scrutiny on </w:t>
      </w:r>
      <w:r w:rsidRPr="00CD0105">
        <w:rPr>
          <w:rFonts w:eastAsia="Calibri"/>
        </w:rPr>
        <w:t xml:space="preserve">Australia’s exposure controls </w:t>
      </w:r>
      <w:r w:rsidR="00555AA2">
        <w:rPr>
          <w:rFonts w:eastAsia="Calibri"/>
        </w:rPr>
        <w:t>was</w:t>
      </w:r>
      <w:r w:rsidR="00131CF4">
        <w:rPr>
          <w:rFonts w:eastAsia="Calibri"/>
        </w:rPr>
        <w:t xml:space="preserve"> apparent</w:t>
      </w:r>
      <w:r w:rsidRPr="00CD0105">
        <w:rPr>
          <w:rFonts w:eastAsia="Calibri"/>
        </w:rPr>
        <w:t xml:space="preserve">. </w:t>
      </w:r>
      <w:r w:rsidR="001321D6">
        <w:rPr>
          <w:rFonts w:eastAsia="Calibri"/>
        </w:rPr>
        <w:t>Australia’s</w:t>
      </w:r>
      <w:r w:rsidR="001321D6" w:rsidRPr="00CD0105">
        <w:rPr>
          <w:rFonts w:eastAsia="Calibri"/>
        </w:rPr>
        <w:t xml:space="preserve"> </w:t>
      </w:r>
      <w:r w:rsidRPr="00CD0105">
        <w:rPr>
          <w:rFonts w:eastAsia="Calibri"/>
        </w:rPr>
        <w:t xml:space="preserve">initial information submission in December 2021 was deemed </w:t>
      </w:r>
      <w:r w:rsidR="00016B84">
        <w:rPr>
          <w:rFonts w:eastAsia="Calibri"/>
        </w:rPr>
        <w:t>to contain in</w:t>
      </w:r>
      <w:r w:rsidRPr="00CD0105">
        <w:rPr>
          <w:rFonts w:eastAsia="Calibri"/>
        </w:rPr>
        <w:t>sufficient</w:t>
      </w:r>
      <w:r w:rsidR="00016B84">
        <w:rPr>
          <w:rFonts w:eastAsia="Calibri"/>
        </w:rPr>
        <w:t xml:space="preserve"> information</w:t>
      </w:r>
      <w:r w:rsidRPr="00CD0105">
        <w:rPr>
          <w:rFonts w:eastAsia="Calibri"/>
        </w:rPr>
        <w:t>, with WOAH noting that Australia did not segregate SRM</w:t>
      </w:r>
      <w:r w:rsidR="001F6CED">
        <w:rPr>
          <w:rFonts w:eastAsia="Calibri"/>
        </w:rPr>
        <w:t xml:space="preserve"> and</w:t>
      </w:r>
      <w:r w:rsidRPr="00CD0105">
        <w:rPr>
          <w:rFonts w:eastAsia="Calibri"/>
        </w:rPr>
        <w:t xml:space="preserve"> enforce dedicated feed production lines or high-pressure rendering. By June 2022 the </w:t>
      </w:r>
      <w:r w:rsidR="003559D6">
        <w:rPr>
          <w:rFonts w:eastAsia="Calibri"/>
        </w:rPr>
        <w:t xml:space="preserve">exposure </w:t>
      </w:r>
      <w:r w:rsidRPr="00CD0105">
        <w:rPr>
          <w:rFonts w:eastAsia="Calibri"/>
        </w:rPr>
        <w:t>assessment had been resolved for all but two countries, Australia and New Zealand. Further technical information was requested</w:t>
      </w:r>
      <w:r w:rsidRPr="00C92A6A">
        <w:rPr>
          <w:rFonts w:eastAsia="Calibri"/>
        </w:rPr>
        <w:t xml:space="preserve">. </w:t>
      </w:r>
      <w:r w:rsidR="00FA7652" w:rsidRPr="00C92A6A">
        <w:rPr>
          <w:rFonts w:eastAsia="Calibri"/>
        </w:rPr>
        <w:t>Australia’s firm</w:t>
      </w:r>
      <w:r w:rsidR="00DE7A3B" w:rsidRPr="00C92A6A">
        <w:rPr>
          <w:rFonts w:eastAsia="Calibri"/>
        </w:rPr>
        <w:t xml:space="preserve"> perspective (shared by other countries</w:t>
      </w:r>
      <w:r w:rsidR="00FA7652" w:rsidRPr="00C92A6A">
        <w:rPr>
          <w:rFonts w:eastAsia="Calibri"/>
        </w:rPr>
        <w:t>; now</w:t>
      </w:r>
      <w:r w:rsidR="00DE7A3B" w:rsidRPr="00C92A6A">
        <w:rPr>
          <w:rFonts w:eastAsia="Calibri"/>
        </w:rPr>
        <w:t xml:space="preserve"> </w:t>
      </w:r>
      <w:r w:rsidR="00BE4582" w:rsidRPr="00915264">
        <w:rPr>
          <w:rFonts w:eastAsia="Calibri"/>
        </w:rPr>
        <w:t xml:space="preserve">a </w:t>
      </w:r>
      <w:r w:rsidR="00DE7A3B" w:rsidRPr="00C92A6A">
        <w:rPr>
          <w:rFonts w:eastAsia="Calibri"/>
        </w:rPr>
        <w:t xml:space="preserve">Quads </w:t>
      </w:r>
      <w:r w:rsidR="00915264">
        <w:rPr>
          <w:rFonts w:eastAsia="Calibri"/>
        </w:rPr>
        <w:t xml:space="preserve">Alliance </w:t>
      </w:r>
      <w:r w:rsidR="00DE7A3B" w:rsidRPr="00C92A6A">
        <w:rPr>
          <w:rFonts w:eastAsia="Calibri"/>
        </w:rPr>
        <w:t xml:space="preserve">position) was that WOAH shouldn’t expect countries to vote on </w:t>
      </w:r>
      <w:r w:rsidR="00915264">
        <w:rPr>
          <w:rFonts w:eastAsia="Calibri"/>
        </w:rPr>
        <w:t>revised</w:t>
      </w:r>
      <w:r w:rsidR="00DE7A3B" w:rsidRPr="00C92A6A">
        <w:rPr>
          <w:rFonts w:eastAsia="Calibri"/>
        </w:rPr>
        <w:t xml:space="preserve"> BSE standards until Members underst</w:t>
      </w:r>
      <w:r w:rsidR="00FA7652" w:rsidRPr="00C92A6A">
        <w:rPr>
          <w:rFonts w:eastAsia="Calibri"/>
        </w:rPr>
        <w:t>oo</w:t>
      </w:r>
      <w:r w:rsidR="00DE7A3B" w:rsidRPr="00C92A6A">
        <w:rPr>
          <w:rFonts w:eastAsia="Calibri"/>
        </w:rPr>
        <w:t>d their impacts through WOAH’s assessments</w:t>
      </w:r>
      <w:r w:rsidR="0031306B" w:rsidRPr="00C92A6A">
        <w:rPr>
          <w:rFonts w:eastAsia="Calibri"/>
        </w:rPr>
        <w:t>.</w:t>
      </w:r>
    </w:p>
    <w:p w14:paraId="63419374" w14:textId="1DCB834E" w:rsidR="00CD0105" w:rsidRPr="00CD0105" w:rsidRDefault="00CD0105" w:rsidP="00E57DBE">
      <w:pPr>
        <w:rPr>
          <w:rFonts w:eastAsia="Calibri"/>
        </w:rPr>
      </w:pPr>
      <w:r w:rsidRPr="00CD0105">
        <w:rPr>
          <w:rFonts w:eastAsia="Calibri"/>
        </w:rPr>
        <w:t xml:space="preserve">Confirmation that Australia’s negligible risk status would be maintained under the new standards was only received in October 2022, after </w:t>
      </w:r>
      <w:r w:rsidR="00886473">
        <w:rPr>
          <w:rFonts w:eastAsia="Calibri"/>
        </w:rPr>
        <w:t xml:space="preserve">scientific input ultimately </w:t>
      </w:r>
      <w:r w:rsidRPr="00CD0105">
        <w:rPr>
          <w:rFonts w:eastAsia="Calibri"/>
        </w:rPr>
        <w:t xml:space="preserve">led to the removal of atypical BSE from the risk assessment process at consultation 6 in September 2022. </w:t>
      </w:r>
      <w:r w:rsidR="00C801B6">
        <w:rPr>
          <w:rFonts w:eastAsia="Calibri"/>
        </w:rPr>
        <w:t xml:space="preserve">If this hadn’t been the case, then the impacts on the industry </w:t>
      </w:r>
      <w:r w:rsidR="00886473">
        <w:rPr>
          <w:rFonts w:eastAsia="Calibri"/>
        </w:rPr>
        <w:t>c</w:t>
      </w:r>
      <w:r w:rsidR="00C801B6">
        <w:rPr>
          <w:rFonts w:eastAsia="Calibri"/>
        </w:rPr>
        <w:t>ould have been as follows:</w:t>
      </w:r>
    </w:p>
    <w:tbl>
      <w:tblPr>
        <w:tblStyle w:val="TableGrid3"/>
        <w:tblW w:w="8343" w:type="dxa"/>
        <w:tblLook w:val="04A0" w:firstRow="1" w:lastRow="0" w:firstColumn="1" w:lastColumn="0" w:noHBand="0" w:noVBand="1"/>
      </w:tblPr>
      <w:tblGrid>
        <w:gridCol w:w="4649"/>
        <w:gridCol w:w="2109"/>
        <w:gridCol w:w="1585"/>
      </w:tblGrid>
      <w:tr w:rsidR="00CD0105" w:rsidRPr="00CD0105" w14:paraId="59DDEF39" w14:textId="77777777" w:rsidTr="00C801B6">
        <w:tc>
          <w:tcPr>
            <w:tcW w:w="4649" w:type="dxa"/>
            <w:shd w:val="clear" w:color="auto" w:fill="D9D9D9"/>
          </w:tcPr>
          <w:p w14:paraId="65C2BF4D" w14:textId="77777777" w:rsidR="00CD0105" w:rsidRPr="00CD0105" w:rsidRDefault="00CD0105" w:rsidP="00CD0105">
            <w:pPr>
              <w:spacing w:before="60" w:after="60" w:line="240" w:lineRule="auto"/>
              <w:jc w:val="left"/>
              <w:rPr>
                <w:b/>
                <w:bCs/>
              </w:rPr>
            </w:pPr>
            <w:r w:rsidRPr="00CD0105">
              <w:rPr>
                <w:b/>
                <w:bCs/>
              </w:rPr>
              <w:lastRenderedPageBreak/>
              <w:t>Implications of Outcome 1</w:t>
            </w:r>
          </w:p>
        </w:tc>
        <w:tc>
          <w:tcPr>
            <w:tcW w:w="2109" w:type="dxa"/>
            <w:shd w:val="clear" w:color="auto" w:fill="D9D9D9"/>
          </w:tcPr>
          <w:p w14:paraId="7B31D7F8" w14:textId="77777777" w:rsidR="00CD0105" w:rsidRPr="00CD0105" w:rsidRDefault="00CD0105" w:rsidP="00CD0105">
            <w:pPr>
              <w:spacing w:before="60" w:after="60" w:line="240" w:lineRule="auto"/>
              <w:jc w:val="left"/>
              <w:rPr>
                <w:b/>
                <w:bCs/>
              </w:rPr>
            </w:pPr>
            <w:r w:rsidRPr="00CD0105">
              <w:rPr>
                <w:b/>
                <w:bCs/>
              </w:rPr>
              <w:t>Affected Industry</w:t>
            </w:r>
          </w:p>
        </w:tc>
        <w:tc>
          <w:tcPr>
            <w:tcW w:w="1585" w:type="dxa"/>
            <w:shd w:val="clear" w:color="auto" w:fill="D9D9D9"/>
          </w:tcPr>
          <w:p w14:paraId="42372D9E" w14:textId="77777777" w:rsidR="00CD0105" w:rsidRPr="00CD0105" w:rsidRDefault="00CD0105" w:rsidP="00CD0105">
            <w:pPr>
              <w:spacing w:before="60" w:after="60" w:line="240" w:lineRule="auto"/>
              <w:jc w:val="left"/>
              <w:rPr>
                <w:b/>
                <w:bCs/>
              </w:rPr>
            </w:pPr>
            <w:r w:rsidRPr="00CD0105">
              <w:rPr>
                <w:b/>
                <w:bCs/>
              </w:rPr>
              <w:t>Data holder</w:t>
            </w:r>
          </w:p>
        </w:tc>
      </w:tr>
      <w:tr w:rsidR="00CD0105" w:rsidRPr="00CD0105" w14:paraId="4F792D4C" w14:textId="77777777" w:rsidTr="00C801B6">
        <w:tc>
          <w:tcPr>
            <w:tcW w:w="4649" w:type="dxa"/>
          </w:tcPr>
          <w:p w14:paraId="322F3BF8" w14:textId="4B631372" w:rsidR="00CD0105" w:rsidRPr="00CD0105" w:rsidRDefault="004D380B" w:rsidP="00CD0105">
            <w:pPr>
              <w:spacing w:before="60" w:after="60" w:line="240" w:lineRule="auto"/>
              <w:jc w:val="left"/>
            </w:pPr>
            <w:r>
              <w:t>Significant loss of market access</w:t>
            </w:r>
            <w:r w:rsidR="00AD2816" w:rsidRPr="00CD0105">
              <w:t xml:space="preserve"> </w:t>
            </w:r>
            <w:r w:rsidR="007621ED">
              <w:t xml:space="preserve">for </w:t>
            </w:r>
            <w:r w:rsidR="00AD2816" w:rsidRPr="00CD0105">
              <w:t>live cattle exports</w:t>
            </w:r>
          </w:p>
        </w:tc>
        <w:tc>
          <w:tcPr>
            <w:tcW w:w="2109" w:type="dxa"/>
          </w:tcPr>
          <w:p w14:paraId="591C5FE6" w14:textId="77777777" w:rsidR="00CD0105" w:rsidRPr="00CD0105" w:rsidRDefault="00CD0105" w:rsidP="00CD0105">
            <w:pPr>
              <w:spacing w:before="60" w:after="60" w:line="240" w:lineRule="auto"/>
              <w:jc w:val="left"/>
            </w:pPr>
            <w:r w:rsidRPr="00CD0105">
              <w:t>Live export</w:t>
            </w:r>
          </w:p>
        </w:tc>
        <w:tc>
          <w:tcPr>
            <w:tcW w:w="1585" w:type="dxa"/>
          </w:tcPr>
          <w:p w14:paraId="3097ED59" w14:textId="77777777" w:rsidR="00CD0105" w:rsidRPr="00CD0105" w:rsidRDefault="00CD0105" w:rsidP="00CD0105">
            <w:pPr>
              <w:spacing w:before="60" w:after="60" w:line="240" w:lineRule="auto"/>
              <w:jc w:val="left"/>
            </w:pPr>
            <w:r w:rsidRPr="00CD0105">
              <w:t>ALEC/LiveCorp</w:t>
            </w:r>
          </w:p>
        </w:tc>
      </w:tr>
      <w:tr w:rsidR="00CD0105" w:rsidRPr="00CD0105" w14:paraId="0893AA4D" w14:textId="77777777" w:rsidTr="00C801B6">
        <w:tc>
          <w:tcPr>
            <w:tcW w:w="4649" w:type="dxa"/>
          </w:tcPr>
          <w:p w14:paraId="76CB9EC3" w14:textId="1749AE00" w:rsidR="00CD0105" w:rsidRPr="00CD0105" w:rsidRDefault="00D50673" w:rsidP="00CD0105">
            <w:pPr>
              <w:spacing w:before="60" w:after="60" w:line="240" w:lineRule="auto"/>
              <w:jc w:val="left"/>
            </w:pPr>
            <w:r>
              <w:t>Significant loss of market access for</w:t>
            </w:r>
            <w:r w:rsidR="00827631" w:rsidRPr="00CD0105">
              <w:t xml:space="preserve"> red meat exports</w:t>
            </w:r>
          </w:p>
        </w:tc>
        <w:tc>
          <w:tcPr>
            <w:tcW w:w="2109" w:type="dxa"/>
          </w:tcPr>
          <w:p w14:paraId="7C969D17" w14:textId="77777777" w:rsidR="00CD0105" w:rsidRPr="00CD0105" w:rsidRDefault="00CD0105" w:rsidP="00CD0105">
            <w:pPr>
              <w:spacing w:before="60" w:after="60" w:line="240" w:lineRule="auto"/>
              <w:jc w:val="left"/>
            </w:pPr>
            <w:r w:rsidRPr="00CD0105">
              <w:t>Meat processing</w:t>
            </w:r>
          </w:p>
        </w:tc>
        <w:tc>
          <w:tcPr>
            <w:tcW w:w="1585" w:type="dxa"/>
          </w:tcPr>
          <w:p w14:paraId="39157E1B" w14:textId="77777777" w:rsidR="00CD0105" w:rsidRPr="00CD0105" w:rsidRDefault="00CD0105" w:rsidP="00CD0105">
            <w:pPr>
              <w:spacing w:before="60" w:after="60" w:line="240" w:lineRule="auto"/>
              <w:jc w:val="left"/>
            </w:pPr>
            <w:r w:rsidRPr="00CD0105">
              <w:t>AMIC</w:t>
            </w:r>
          </w:p>
        </w:tc>
      </w:tr>
      <w:tr w:rsidR="00CD0105" w:rsidRPr="00CD0105" w14:paraId="6B641694" w14:textId="77777777" w:rsidTr="00C801B6">
        <w:tc>
          <w:tcPr>
            <w:tcW w:w="4649" w:type="dxa"/>
          </w:tcPr>
          <w:p w14:paraId="23F9134E" w14:textId="40D37F98" w:rsidR="00CD0105" w:rsidRPr="00CD0105" w:rsidRDefault="0091430E" w:rsidP="00CD0105">
            <w:pPr>
              <w:spacing w:before="60" w:after="60" w:line="240" w:lineRule="auto"/>
              <w:jc w:val="left"/>
            </w:pPr>
            <w:r w:rsidRPr="00CD0105">
              <w:t>Bovine rendered meals ineligible for export</w:t>
            </w:r>
          </w:p>
        </w:tc>
        <w:tc>
          <w:tcPr>
            <w:tcW w:w="2109" w:type="dxa"/>
          </w:tcPr>
          <w:p w14:paraId="25666E2E" w14:textId="77777777" w:rsidR="00CD0105" w:rsidRPr="00CD0105" w:rsidRDefault="00CD0105" w:rsidP="00CD0105">
            <w:pPr>
              <w:spacing w:before="60" w:after="60" w:line="240" w:lineRule="auto"/>
              <w:jc w:val="left"/>
            </w:pPr>
            <w:r w:rsidRPr="00CD0105">
              <w:t>Rendering</w:t>
            </w:r>
          </w:p>
        </w:tc>
        <w:tc>
          <w:tcPr>
            <w:tcW w:w="1585" w:type="dxa"/>
          </w:tcPr>
          <w:p w14:paraId="659DA231" w14:textId="77777777" w:rsidR="00CD0105" w:rsidRPr="00CD0105" w:rsidRDefault="00CD0105" w:rsidP="00CD0105">
            <w:pPr>
              <w:spacing w:before="60" w:after="60" w:line="240" w:lineRule="auto"/>
              <w:jc w:val="left"/>
            </w:pPr>
            <w:r w:rsidRPr="00CD0105">
              <w:t>ARA</w:t>
            </w:r>
          </w:p>
        </w:tc>
      </w:tr>
      <w:tr w:rsidR="00CD0105" w:rsidRPr="00CD0105" w14:paraId="7BEE7F54" w14:textId="77777777" w:rsidTr="00C801B6">
        <w:tc>
          <w:tcPr>
            <w:tcW w:w="4649" w:type="dxa"/>
          </w:tcPr>
          <w:p w14:paraId="79C3115D" w14:textId="77777777" w:rsidR="00CD0105" w:rsidRPr="00CD0105" w:rsidRDefault="00CD0105" w:rsidP="00CD0105">
            <w:pPr>
              <w:spacing w:before="60" w:after="60" w:line="240" w:lineRule="auto"/>
              <w:jc w:val="left"/>
            </w:pPr>
            <w:r w:rsidRPr="00CD0105">
              <w:t>Major reputational impacts flowing into other commodities and issues</w:t>
            </w:r>
          </w:p>
        </w:tc>
        <w:tc>
          <w:tcPr>
            <w:tcW w:w="2109" w:type="dxa"/>
          </w:tcPr>
          <w:p w14:paraId="4B7E28AD" w14:textId="77777777" w:rsidR="00CD0105" w:rsidRPr="00CD0105" w:rsidRDefault="00CD0105" w:rsidP="00CD0105">
            <w:pPr>
              <w:spacing w:before="60" w:after="60" w:line="240" w:lineRule="auto"/>
              <w:jc w:val="left"/>
            </w:pPr>
            <w:r w:rsidRPr="00CD0105">
              <w:t>Multiple</w:t>
            </w:r>
          </w:p>
        </w:tc>
        <w:tc>
          <w:tcPr>
            <w:tcW w:w="1585" w:type="dxa"/>
          </w:tcPr>
          <w:p w14:paraId="41EB537B" w14:textId="77777777" w:rsidR="00CD0105" w:rsidRPr="00CD0105" w:rsidRDefault="00CD0105" w:rsidP="00CD0105">
            <w:pPr>
              <w:spacing w:before="60" w:after="60" w:line="240" w:lineRule="auto"/>
              <w:jc w:val="left"/>
            </w:pPr>
          </w:p>
        </w:tc>
      </w:tr>
    </w:tbl>
    <w:p w14:paraId="5CFCB236" w14:textId="77777777" w:rsidR="003C6002" w:rsidRDefault="003C6002" w:rsidP="00C801B6">
      <w:pPr>
        <w:rPr>
          <w:rFonts w:eastAsia="Calibri"/>
          <w:i/>
        </w:rPr>
      </w:pPr>
    </w:p>
    <w:p w14:paraId="3F53CA91" w14:textId="654D9F0D" w:rsidR="00C801B6" w:rsidRPr="00C801B6" w:rsidRDefault="00C801B6" w:rsidP="00C801B6">
      <w:pPr>
        <w:rPr>
          <w:rFonts w:eastAsia="Calibri"/>
          <w:i/>
        </w:rPr>
      </w:pPr>
      <w:r w:rsidRPr="00C801B6">
        <w:rPr>
          <w:rFonts w:eastAsia="Calibri"/>
          <w:i/>
        </w:rPr>
        <w:t xml:space="preserve">Outcome </w:t>
      </w:r>
      <w:r>
        <w:rPr>
          <w:rFonts w:eastAsia="Calibri"/>
          <w:i/>
        </w:rPr>
        <w:t>2</w:t>
      </w:r>
    </w:p>
    <w:tbl>
      <w:tblPr>
        <w:tblStyle w:val="TableGrid3"/>
        <w:tblW w:w="0" w:type="auto"/>
        <w:tblLook w:val="04A0" w:firstRow="1" w:lastRow="0" w:firstColumn="1" w:lastColumn="0" w:noHBand="0" w:noVBand="1"/>
      </w:tblPr>
      <w:tblGrid>
        <w:gridCol w:w="1379"/>
        <w:gridCol w:w="6923"/>
      </w:tblGrid>
      <w:tr w:rsidR="00CD0105" w:rsidRPr="00CD0105" w14:paraId="35A91199" w14:textId="77777777" w:rsidTr="00151135">
        <w:tc>
          <w:tcPr>
            <w:tcW w:w="1379" w:type="dxa"/>
            <w:shd w:val="clear" w:color="auto" w:fill="D9D9D9"/>
          </w:tcPr>
          <w:p w14:paraId="745113DE" w14:textId="77777777" w:rsidR="00CD0105" w:rsidRPr="00CD0105" w:rsidRDefault="00CD0105" w:rsidP="00CD0105">
            <w:pPr>
              <w:spacing w:before="60" w:after="60" w:line="240" w:lineRule="auto"/>
              <w:jc w:val="left"/>
              <w:rPr>
                <w:b/>
                <w:bCs/>
              </w:rPr>
            </w:pPr>
            <w:r w:rsidRPr="00CD0105">
              <w:br w:type="page"/>
            </w:r>
            <w:r w:rsidRPr="00CD0105">
              <w:rPr>
                <w:b/>
                <w:bCs/>
              </w:rPr>
              <w:t>Outcome 2</w:t>
            </w:r>
          </w:p>
        </w:tc>
        <w:tc>
          <w:tcPr>
            <w:tcW w:w="6923" w:type="dxa"/>
            <w:shd w:val="clear" w:color="auto" w:fill="D9D9D9"/>
          </w:tcPr>
          <w:p w14:paraId="657431D8" w14:textId="77777777" w:rsidR="00CD0105" w:rsidRPr="00CD0105" w:rsidRDefault="00CD0105" w:rsidP="00CD0105">
            <w:pPr>
              <w:spacing w:before="60" w:after="60" w:line="240" w:lineRule="auto"/>
              <w:jc w:val="left"/>
              <w:rPr>
                <w:b/>
                <w:bCs/>
              </w:rPr>
            </w:pPr>
            <w:r w:rsidRPr="00CD0105">
              <w:rPr>
                <w:b/>
                <w:bCs/>
              </w:rPr>
              <w:t>SRM removal mandated from human and animal export chains</w:t>
            </w:r>
          </w:p>
        </w:tc>
      </w:tr>
      <w:tr w:rsidR="00CD0105" w:rsidRPr="00CD0105" w14:paraId="1FA06F66" w14:textId="77777777" w:rsidTr="00151135">
        <w:tc>
          <w:tcPr>
            <w:tcW w:w="1379" w:type="dxa"/>
          </w:tcPr>
          <w:p w14:paraId="3214E42A" w14:textId="77777777" w:rsidR="00CD0105" w:rsidRPr="00CD0105" w:rsidRDefault="00CD0105" w:rsidP="00CD0105">
            <w:pPr>
              <w:spacing w:before="60" w:after="60" w:line="240" w:lineRule="auto"/>
              <w:jc w:val="left"/>
            </w:pPr>
            <w:r w:rsidRPr="00CD0105">
              <w:t>Duration</w:t>
            </w:r>
          </w:p>
        </w:tc>
        <w:tc>
          <w:tcPr>
            <w:tcW w:w="6923" w:type="dxa"/>
          </w:tcPr>
          <w:p w14:paraId="6681E0F8" w14:textId="77777777" w:rsidR="00CD0105" w:rsidRPr="00CD0105" w:rsidRDefault="00CD0105" w:rsidP="00CD0105">
            <w:pPr>
              <w:spacing w:before="60" w:after="60" w:line="240" w:lineRule="auto"/>
              <w:jc w:val="left"/>
            </w:pPr>
            <w:r w:rsidRPr="00CD0105">
              <w:t>Permanent</w:t>
            </w:r>
          </w:p>
        </w:tc>
      </w:tr>
      <w:tr w:rsidR="00CD0105" w:rsidRPr="00CD0105" w14:paraId="4DFBC546" w14:textId="77777777" w:rsidTr="00151135">
        <w:tc>
          <w:tcPr>
            <w:tcW w:w="1379" w:type="dxa"/>
          </w:tcPr>
          <w:p w14:paraId="68DE65B5" w14:textId="77777777" w:rsidR="00CD0105" w:rsidRPr="00CD0105" w:rsidRDefault="00CD0105" w:rsidP="00CD0105">
            <w:pPr>
              <w:spacing w:before="60" w:after="60" w:line="240" w:lineRule="auto"/>
              <w:jc w:val="left"/>
            </w:pPr>
            <w:r w:rsidRPr="00CD0105">
              <w:t>Cause</w:t>
            </w:r>
          </w:p>
        </w:tc>
        <w:tc>
          <w:tcPr>
            <w:tcW w:w="6923" w:type="dxa"/>
          </w:tcPr>
          <w:p w14:paraId="36F0BFCC" w14:textId="77777777" w:rsidR="00CD0105" w:rsidRPr="00CD0105" w:rsidRDefault="00CD0105" w:rsidP="00CD0105">
            <w:pPr>
              <w:spacing w:before="60" w:after="60" w:line="240" w:lineRule="auto"/>
              <w:jc w:val="left"/>
            </w:pPr>
            <w:r w:rsidRPr="00CD0105">
              <w:t>Australia not deemed to pass exposure assessment; and</w:t>
            </w:r>
          </w:p>
          <w:p w14:paraId="4CFAD64A" w14:textId="77777777" w:rsidR="00CD0105" w:rsidRPr="00CD0105" w:rsidRDefault="00CD0105" w:rsidP="00CD0105">
            <w:pPr>
              <w:spacing w:before="60" w:after="60" w:line="240" w:lineRule="auto"/>
              <w:jc w:val="left"/>
            </w:pPr>
            <w:r w:rsidRPr="00CD0105">
              <w:t>Compliance with proposed trade recommendations</w:t>
            </w:r>
          </w:p>
        </w:tc>
      </w:tr>
      <w:tr w:rsidR="00CD0105" w:rsidRPr="00CD0105" w14:paraId="64D79CCD" w14:textId="77777777" w:rsidTr="00151135">
        <w:tc>
          <w:tcPr>
            <w:tcW w:w="1379" w:type="dxa"/>
          </w:tcPr>
          <w:p w14:paraId="4ECBF9F4" w14:textId="77777777" w:rsidR="00CD0105" w:rsidRPr="00CD0105" w:rsidRDefault="00CD0105" w:rsidP="00CD0105">
            <w:pPr>
              <w:spacing w:before="60" w:after="60" w:line="240" w:lineRule="auto"/>
              <w:jc w:val="left"/>
            </w:pPr>
            <w:r w:rsidRPr="00CD0105">
              <w:t>Reference</w:t>
            </w:r>
          </w:p>
        </w:tc>
        <w:tc>
          <w:tcPr>
            <w:tcW w:w="6923" w:type="dxa"/>
          </w:tcPr>
          <w:p w14:paraId="0240D239" w14:textId="77777777" w:rsidR="00CD0105" w:rsidRPr="00CD0105" w:rsidRDefault="00CD0105" w:rsidP="00CD0105">
            <w:pPr>
              <w:spacing w:before="60" w:after="60" w:line="240" w:lineRule="auto"/>
              <w:jc w:val="left"/>
            </w:pPr>
            <w:r w:rsidRPr="00CD0105">
              <w:t xml:space="preserve">Article 11.4.1 (Atypical BSE added to international standards) </w:t>
            </w:r>
          </w:p>
          <w:p w14:paraId="0BCD7A40" w14:textId="77777777" w:rsidR="00CD0105" w:rsidRPr="00CD0105" w:rsidRDefault="00CD0105" w:rsidP="00CD0105">
            <w:pPr>
              <w:spacing w:before="60" w:after="60" w:line="240" w:lineRule="auto"/>
              <w:jc w:val="left"/>
            </w:pPr>
            <w:r w:rsidRPr="00CD0105">
              <w:t>11.4.14/15 (Negligible risk countries included in trade conditions for commodities with greatest infectivity)</w:t>
            </w:r>
          </w:p>
        </w:tc>
      </w:tr>
    </w:tbl>
    <w:p w14:paraId="7EE51D95" w14:textId="3DC2D4D8" w:rsidR="00C801B6" w:rsidRDefault="00C801B6" w:rsidP="00C801B6">
      <w:pPr>
        <w:tabs>
          <w:tab w:val="left" w:pos="610"/>
        </w:tabs>
        <w:rPr>
          <w:rFonts w:eastAsia="Calibri"/>
        </w:rPr>
      </w:pPr>
      <w:r w:rsidRPr="00CD0105">
        <w:rPr>
          <w:rFonts w:eastAsia="Calibri"/>
        </w:rPr>
        <w:t>A common international control for BSE is the removal and disposal</w:t>
      </w:r>
      <w:r w:rsidR="00E66C87">
        <w:rPr>
          <w:rFonts w:eastAsia="Calibri"/>
        </w:rPr>
        <w:t xml:space="preserve"> of</w:t>
      </w:r>
      <w:r w:rsidRPr="00CD0105">
        <w:rPr>
          <w:rFonts w:eastAsia="Calibri"/>
        </w:rPr>
        <w:t xml:space="preserve"> ‘SRM</w:t>
      </w:r>
      <w:r w:rsidRPr="00E57DBE">
        <w:rPr>
          <w:rFonts w:eastAsia="Calibri"/>
          <w:vertAlign w:val="superscript"/>
        </w:rPr>
        <w:footnoteReference w:id="3"/>
      </w:r>
      <w:r w:rsidR="00902C44">
        <w:rPr>
          <w:rFonts w:eastAsia="Calibri"/>
        </w:rPr>
        <w:t>’</w:t>
      </w:r>
      <w:r w:rsidRPr="00CD0105">
        <w:rPr>
          <w:rFonts w:eastAsia="Calibri"/>
        </w:rPr>
        <w:t xml:space="preserve"> during cattle processing. SRM are tissues where the BSE agent concentrates and therefore have the greatest infectivity. This control has never been deemed necessary in Australia given the complete historical absence of the BSE agent. </w:t>
      </w:r>
    </w:p>
    <w:p w14:paraId="5A1606AE" w14:textId="53A047D8" w:rsidR="00CD0105" w:rsidRPr="00CD0105" w:rsidRDefault="00C801B6" w:rsidP="00C801B6">
      <w:pPr>
        <w:tabs>
          <w:tab w:val="left" w:pos="610"/>
        </w:tabs>
        <w:rPr>
          <w:rFonts w:eastAsia="Calibri"/>
        </w:rPr>
      </w:pPr>
      <w:r w:rsidRPr="00CD0105">
        <w:rPr>
          <w:rFonts w:eastAsia="Calibri"/>
        </w:rPr>
        <w:t xml:space="preserve">If WOAH had deemed that Australia did not pass the exposure assessment, the removal of SRMs is the most likely requirement that would have been permanently enforced based on international precedent. </w:t>
      </w:r>
      <w:r w:rsidR="00CD0105" w:rsidRPr="00CD0105">
        <w:rPr>
          <w:rFonts w:eastAsia="Calibri"/>
        </w:rPr>
        <w:t xml:space="preserve">Irrespective of the exposure assessment, Australia would have needed to remove SRM to comply with the trade recommendation proposed in </w:t>
      </w:r>
      <w:r w:rsidR="00CD0105" w:rsidRPr="00CD0105">
        <w:rPr>
          <w:rFonts w:eastAsia="Calibri"/>
          <w:i/>
          <w:iCs/>
        </w:rPr>
        <w:t>Article 11.4.14. Recommendations in relation to the trade of the commodities with the greatest BSE infectivity.</w:t>
      </w:r>
      <w:r w:rsidR="00CD0105" w:rsidRPr="00CD0105">
        <w:rPr>
          <w:rFonts w:eastAsia="Calibri"/>
        </w:rPr>
        <w:t xml:space="preserve"> These recommendations </w:t>
      </w:r>
      <w:r w:rsidR="00674655">
        <w:rPr>
          <w:rFonts w:eastAsia="Calibri"/>
        </w:rPr>
        <w:t xml:space="preserve">would have </w:t>
      </w:r>
      <w:r w:rsidR="00CD0105" w:rsidRPr="00CD0105">
        <w:rPr>
          <w:rFonts w:eastAsia="Calibri"/>
        </w:rPr>
        <w:t>introduced for the first time a restriction on trade from negligible risk countries</w:t>
      </w:r>
      <w:r w:rsidR="00D603D8">
        <w:rPr>
          <w:rFonts w:eastAsia="Calibri"/>
        </w:rPr>
        <w:t xml:space="preserve">; </w:t>
      </w:r>
      <w:r w:rsidR="00674655">
        <w:rPr>
          <w:rFonts w:eastAsia="Calibri"/>
        </w:rPr>
        <w:t xml:space="preserve">that is, </w:t>
      </w:r>
      <w:r w:rsidR="003E57FB">
        <w:rPr>
          <w:rFonts w:eastAsia="Calibri"/>
        </w:rPr>
        <w:t>a</w:t>
      </w:r>
      <w:r w:rsidR="00CD0105" w:rsidRPr="00CD0105">
        <w:rPr>
          <w:rFonts w:eastAsia="Calibri"/>
        </w:rPr>
        <w:t xml:space="preserve"> need to remove SRM from cattle born before the period when the risk of the BSE agents being recycled in the cattle population has been demonstrated to be negligible. This period was under active consideration by WOAH</w:t>
      </w:r>
      <w:r w:rsidR="00674655">
        <w:rPr>
          <w:rFonts w:eastAsia="Calibri"/>
        </w:rPr>
        <w:t>.</w:t>
      </w:r>
      <w:r w:rsidR="00CD0105" w:rsidRPr="00CD0105">
        <w:rPr>
          <w:rFonts w:eastAsia="Calibri"/>
        </w:rPr>
        <w:t xml:space="preserve"> </w:t>
      </w:r>
      <w:r w:rsidR="00674655">
        <w:rPr>
          <w:rFonts w:eastAsia="Calibri"/>
        </w:rPr>
        <w:t>I</w:t>
      </w:r>
      <w:r w:rsidR="00CD0105" w:rsidRPr="00CD0105">
        <w:rPr>
          <w:rFonts w:eastAsia="Calibri"/>
        </w:rPr>
        <w:t xml:space="preserve">n addition, Australia would not have the ability to identify and process sub-categories of cattle differently.  </w:t>
      </w:r>
    </w:p>
    <w:p w14:paraId="1A0B2C70" w14:textId="77777777" w:rsidR="00CD0105" w:rsidRPr="00CD0105" w:rsidRDefault="00CD0105" w:rsidP="00E57DBE">
      <w:pPr>
        <w:tabs>
          <w:tab w:val="left" w:pos="610"/>
        </w:tabs>
        <w:rPr>
          <w:rFonts w:eastAsia="Calibri"/>
        </w:rPr>
      </w:pPr>
      <w:r w:rsidRPr="00CD0105">
        <w:rPr>
          <w:rFonts w:eastAsia="Calibri"/>
        </w:rPr>
        <w:t>Clarity that SRM removal would not be required was achieved:</w:t>
      </w:r>
    </w:p>
    <w:p w14:paraId="39B47564" w14:textId="7167A9A4" w:rsidR="00CD0105" w:rsidRPr="00CD0105" w:rsidRDefault="00CD0105" w:rsidP="00C801B6">
      <w:pPr>
        <w:numPr>
          <w:ilvl w:val="0"/>
          <w:numId w:val="18"/>
        </w:numPr>
        <w:spacing w:before="60" w:after="60"/>
        <w:ind w:left="714" w:hanging="357"/>
        <w:rPr>
          <w:rFonts w:eastAsia="Calibri"/>
        </w:rPr>
      </w:pPr>
      <w:r w:rsidRPr="00CD0105">
        <w:rPr>
          <w:rFonts w:eastAsia="Calibri"/>
        </w:rPr>
        <w:t xml:space="preserve">After successful </w:t>
      </w:r>
      <w:r w:rsidR="00E54EB8">
        <w:rPr>
          <w:rFonts w:eastAsia="Calibri"/>
        </w:rPr>
        <w:t xml:space="preserve">engagement </w:t>
      </w:r>
      <w:r w:rsidRPr="00CD0105">
        <w:rPr>
          <w:rFonts w:eastAsia="Calibri"/>
        </w:rPr>
        <w:t>led to the removal of atypical BSE from the risk assessment process at consultation 6 in September 2022.</w:t>
      </w:r>
    </w:p>
    <w:p w14:paraId="5B0859B7" w14:textId="77777777" w:rsidR="00CD0105" w:rsidRPr="00CD0105" w:rsidRDefault="00CD0105" w:rsidP="00C801B6">
      <w:pPr>
        <w:numPr>
          <w:ilvl w:val="0"/>
          <w:numId w:val="18"/>
        </w:numPr>
        <w:spacing w:before="60" w:after="60"/>
        <w:ind w:left="714" w:hanging="357"/>
        <w:rPr>
          <w:rFonts w:eastAsia="Calibri"/>
        </w:rPr>
      </w:pPr>
      <w:r w:rsidRPr="00CD0105">
        <w:rPr>
          <w:rFonts w:eastAsia="Calibri"/>
        </w:rPr>
        <w:lastRenderedPageBreak/>
        <w:t>After advice in October 2022 that Australia’s negligible risk status would be maintained.</w:t>
      </w:r>
    </w:p>
    <w:p w14:paraId="6A6699E5" w14:textId="77777777" w:rsidR="00CD0105" w:rsidRPr="00CD0105" w:rsidRDefault="00CD0105" w:rsidP="00C801B6">
      <w:pPr>
        <w:numPr>
          <w:ilvl w:val="0"/>
          <w:numId w:val="18"/>
        </w:numPr>
        <w:spacing w:before="60" w:after="60"/>
        <w:ind w:left="714" w:hanging="357"/>
        <w:rPr>
          <w:rFonts w:eastAsia="Calibri"/>
        </w:rPr>
      </w:pPr>
      <w:r w:rsidRPr="00CD0105">
        <w:rPr>
          <w:rFonts w:eastAsia="Calibri"/>
        </w:rPr>
        <w:t xml:space="preserve">After successful lobbying led to the removal at consultation 5 of any requirement in Article 11.4.14 for SRMs to be removed in negligible risk countries. </w:t>
      </w:r>
    </w:p>
    <w:p w14:paraId="7D2ACCEA" w14:textId="1B0D8F09" w:rsidR="006A018F" w:rsidRDefault="00C801B6" w:rsidP="00C801B6">
      <w:pPr>
        <w:tabs>
          <w:tab w:val="left" w:pos="610"/>
        </w:tabs>
        <w:rPr>
          <w:rFonts w:eastAsia="Calibri"/>
        </w:rPr>
      </w:pPr>
      <w:r>
        <w:rPr>
          <w:rFonts w:eastAsia="Calibri"/>
        </w:rPr>
        <w:t>If this hadn’t been the case, then the impacts on the industry would have been as follows:</w:t>
      </w:r>
    </w:p>
    <w:p w14:paraId="72350224" w14:textId="66B80634" w:rsidR="006A018F" w:rsidRDefault="006A018F">
      <w:pPr>
        <w:spacing w:before="0" w:after="0" w:line="240" w:lineRule="auto"/>
        <w:jc w:val="left"/>
        <w:rPr>
          <w:rFonts w:eastAsia="Calibri"/>
        </w:rPr>
      </w:pPr>
    </w:p>
    <w:tbl>
      <w:tblPr>
        <w:tblStyle w:val="TableGrid3"/>
        <w:tblW w:w="8366" w:type="dxa"/>
        <w:tblLook w:val="04A0" w:firstRow="1" w:lastRow="0" w:firstColumn="1" w:lastColumn="0" w:noHBand="0" w:noVBand="1"/>
      </w:tblPr>
      <w:tblGrid>
        <w:gridCol w:w="4649"/>
        <w:gridCol w:w="2130"/>
        <w:gridCol w:w="1587"/>
      </w:tblGrid>
      <w:tr w:rsidR="00CD0105" w:rsidRPr="00CD0105" w14:paraId="191EB45A" w14:textId="77777777" w:rsidTr="00C801B6">
        <w:tc>
          <w:tcPr>
            <w:tcW w:w="4649" w:type="dxa"/>
            <w:shd w:val="clear" w:color="auto" w:fill="D9D9D9"/>
          </w:tcPr>
          <w:p w14:paraId="6E042E55" w14:textId="77777777" w:rsidR="00CD0105" w:rsidRPr="00CD0105" w:rsidRDefault="00CD0105" w:rsidP="00CD0105">
            <w:pPr>
              <w:spacing w:before="60" w:after="60" w:line="240" w:lineRule="auto"/>
              <w:jc w:val="left"/>
              <w:rPr>
                <w:b/>
                <w:bCs/>
              </w:rPr>
            </w:pPr>
            <w:r w:rsidRPr="00CD0105">
              <w:rPr>
                <w:b/>
                <w:bCs/>
              </w:rPr>
              <w:t>Implications of Outcome 2</w:t>
            </w:r>
          </w:p>
        </w:tc>
        <w:tc>
          <w:tcPr>
            <w:tcW w:w="2130" w:type="dxa"/>
            <w:shd w:val="clear" w:color="auto" w:fill="D9D9D9"/>
          </w:tcPr>
          <w:p w14:paraId="31726080" w14:textId="77777777" w:rsidR="00CD0105" w:rsidRPr="00CD0105" w:rsidRDefault="00CD0105" w:rsidP="00CD0105">
            <w:pPr>
              <w:spacing w:before="60" w:after="60" w:line="240" w:lineRule="auto"/>
              <w:jc w:val="left"/>
              <w:rPr>
                <w:b/>
                <w:bCs/>
              </w:rPr>
            </w:pPr>
            <w:r w:rsidRPr="00CD0105">
              <w:rPr>
                <w:b/>
                <w:bCs/>
              </w:rPr>
              <w:t>Affected Industry</w:t>
            </w:r>
          </w:p>
        </w:tc>
        <w:tc>
          <w:tcPr>
            <w:tcW w:w="1587" w:type="dxa"/>
            <w:shd w:val="clear" w:color="auto" w:fill="D9D9D9"/>
          </w:tcPr>
          <w:p w14:paraId="0BECDE74" w14:textId="77777777" w:rsidR="00CD0105" w:rsidRPr="00CD0105" w:rsidRDefault="00CD0105" w:rsidP="00CD0105">
            <w:pPr>
              <w:spacing w:before="60" w:after="60" w:line="240" w:lineRule="auto"/>
              <w:jc w:val="left"/>
              <w:rPr>
                <w:b/>
                <w:bCs/>
              </w:rPr>
            </w:pPr>
            <w:r w:rsidRPr="00CD0105">
              <w:rPr>
                <w:b/>
                <w:bCs/>
              </w:rPr>
              <w:t>Data holder</w:t>
            </w:r>
          </w:p>
        </w:tc>
      </w:tr>
      <w:tr w:rsidR="00CD0105" w:rsidRPr="00CD0105" w14:paraId="0FB671E7" w14:textId="77777777" w:rsidTr="00C801B6">
        <w:tc>
          <w:tcPr>
            <w:tcW w:w="4649" w:type="dxa"/>
          </w:tcPr>
          <w:p w14:paraId="49F99A9D" w14:textId="77777777" w:rsidR="00CD0105" w:rsidRPr="00CD0105" w:rsidRDefault="00CD0105" w:rsidP="00CD0105">
            <w:pPr>
              <w:spacing w:before="60" w:after="60" w:line="240" w:lineRule="auto"/>
              <w:jc w:val="left"/>
            </w:pPr>
            <w:r w:rsidRPr="00CD0105">
              <w:t>Cost to remove SRM during processing</w:t>
            </w:r>
          </w:p>
        </w:tc>
        <w:tc>
          <w:tcPr>
            <w:tcW w:w="2130" w:type="dxa"/>
          </w:tcPr>
          <w:p w14:paraId="07AD628A" w14:textId="77777777" w:rsidR="00CD0105" w:rsidRPr="00CD0105" w:rsidRDefault="00CD0105" w:rsidP="00CD0105">
            <w:pPr>
              <w:spacing w:before="60" w:after="60" w:line="240" w:lineRule="auto"/>
              <w:jc w:val="left"/>
            </w:pPr>
            <w:r w:rsidRPr="00CD0105">
              <w:t>Meat processing</w:t>
            </w:r>
          </w:p>
        </w:tc>
        <w:tc>
          <w:tcPr>
            <w:tcW w:w="1587" w:type="dxa"/>
          </w:tcPr>
          <w:p w14:paraId="21A9F205" w14:textId="77777777" w:rsidR="00CD0105" w:rsidRPr="00CD0105" w:rsidRDefault="00CD0105" w:rsidP="00CD0105">
            <w:pPr>
              <w:spacing w:before="60" w:after="60" w:line="240" w:lineRule="auto"/>
              <w:jc w:val="left"/>
            </w:pPr>
            <w:r w:rsidRPr="00CD0105">
              <w:t>AMIC</w:t>
            </w:r>
          </w:p>
        </w:tc>
      </w:tr>
      <w:tr w:rsidR="00CD0105" w:rsidRPr="00CD0105" w14:paraId="49670067" w14:textId="77777777" w:rsidTr="00C801B6">
        <w:tc>
          <w:tcPr>
            <w:tcW w:w="4649" w:type="dxa"/>
          </w:tcPr>
          <w:p w14:paraId="653C545A" w14:textId="77777777" w:rsidR="00CD0105" w:rsidRPr="00CD0105" w:rsidRDefault="00CD0105" w:rsidP="00CD0105">
            <w:pPr>
              <w:spacing w:before="60" w:after="60" w:line="240" w:lineRule="auto"/>
              <w:jc w:val="left"/>
            </w:pPr>
            <w:r w:rsidRPr="00CD0105">
              <w:t xml:space="preserve">Cost to dispose of SRM </w:t>
            </w:r>
          </w:p>
        </w:tc>
        <w:tc>
          <w:tcPr>
            <w:tcW w:w="2130" w:type="dxa"/>
          </w:tcPr>
          <w:p w14:paraId="567CEBB1" w14:textId="77777777" w:rsidR="00CD0105" w:rsidRPr="00CD0105" w:rsidRDefault="00CD0105" w:rsidP="00CD0105">
            <w:pPr>
              <w:spacing w:before="60" w:after="60" w:line="240" w:lineRule="auto"/>
              <w:jc w:val="left"/>
            </w:pPr>
            <w:r w:rsidRPr="00CD0105">
              <w:t>Meat processing</w:t>
            </w:r>
          </w:p>
        </w:tc>
        <w:tc>
          <w:tcPr>
            <w:tcW w:w="1587" w:type="dxa"/>
          </w:tcPr>
          <w:p w14:paraId="116ACDD4" w14:textId="77777777" w:rsidR="00CD0105" w:rsidRPr="00CD0105" w:rsidRDefault="00CD0105" w:rsidP="00CD0105">
            <w:pPr>
              <w:spacing w:before="60" w:after="60" w:line="240" w:lineRule="auto"/>
              <w:jc w:val="left"/>
            </w:pPr>
            <w:r w:rsidRPr="00CD0105">
              <w:t>AMIC</w:t>
            </w:r>
          </w:p>
        </w:tc>
      </w:tr>
      <w:tr w:rsidR="00CD0105" w:rsidRPr="00CD0105" w14:paraId="5E5092FE" w14:textId="77777777" w:rsidTr="00C801B6">
        <w:tc>
          <w:tcPr>
            <w:tcW w:w="4649" w:type="dxa"/>
          </w:tcPr>
          <w:p w14:paraId="0F8746B6" w14:textId="77777777" w:rsidR="00CD0105" w:rsidRPr="00CD0105" w:rsidRDefault="00CD0105" w:rsidP="00CD0105">
            <w:pPr>
              <w:spacing w:before="60" w:after="60" w:line="240" w:lineRule="auto"/>
              <w:jc w:val="left"/>
            </w:pPr>
            <w:r w:rsidRPr="00CD0105">
              <w:t>SRM not available as raw material for rendering</w:t>
            </w:r>
          </w:p>
        </w:tc>
        <w:tc>
          <w:tcPr>
            <w:tcW w:w="2130" w:type="dxa"/>
          </w:tcPr>
          <w:p w14:paraId="53B07F0B" w14:textId="77777777" w:rsidR="00CD0105" w:rsidRPr="00CD0105" w:rsidRDefault="00CD0105" w:rsidP="00CD0105">
            <w:pPr>
              <w:spacing w:before="60" w:after="60" w:line="240" w:lineRule="auto"/>
              <w:jc w:val="left"/>
            </w:pPr>
            <w:r w:rsidRPr="00CD0105">
              <w:t>Rendering</w:t>
            </w:r>
          </w:p>
        </w:tc>
        <w:tc>
          <w:tcPr>
            <w:tcW w:w="1587" w:type="dxa"/>
          </w:tcPr>
          <w:p w14:paraId="3506BB6A" w14:textId="77777777" w:rsidR="00CD0105" w:rsidRPr="00CD0105" w:rsidRDefault="00CD0105" w:rsidP="00CD0105">
            <w:pPr>
              <w:spacing w:before="60" w:after="60" w:line="240" w:lineRule="auto"/>
              <w:jc w:val="left"/>
            </w:pPr>
            <w:r w:rsidRPr="00CD0105">
              <w:t>ARA</w:t>
            </w:r>
          </w:p>
        </w:tc>
      </w:tr>
    </w:tbl>
    <w:p w14:paraId="2E84E226" w14:textId="77777777" w:rsidR="00FB6965" w:rsidRDefault="00FB6965" w:rsidP="00FB6965">
      <w:pPr>
        <w:spacing w:line="240" w:lineRule="auto"/>
        <w:rPr>
          <w:rFonts w:eastAsia="Calibri"/>
          <w:i/>
        </w:rPr>
      </w:pPr>
    </w:p>
    <w:p w14:paraId="4CFEAB9B" w14:textId="029F2617" w:rsidR="00C801B6" w:rsidRPr="00C801B6" w:rsidRDefault="00C801B6" w:rsidP="00C801B6">
      <w:pPr>
        <w:spacing w:before="240"/>
        <w:rPr>
          <w:rFonts w:eastAsia="Calibri"/>
          <w:i/>
        </w:rPr>
      </w:pPr>
      <w:r w:rsidRPr="00C801B6">
        <w:rPr>
          <w:rFonts w:eastAsia="Calibri"/>
          <w:i/>
        </w:rPr>
        <w:t xml:space="preserve">Outcome </w:t>
      </w:r>
      <w:r>
        <w:rPr>
          <w:rFonts w:eastAsia="Calibri"/>
          <w:i/>
        </w:rPr>
        <w:t>3</w:t>
      </w:r>
    </w:p>
    <w:tbl>
      <w:tblPr>
        <w:tblStyle w:val="TableGrid3"/>
        <w:tblW w:w="0" w:type="auto"/>
        <w:tblLook w:val="04A0" w:firstRow="1" w:lastRow="0" w:firstColumn="1" w:lastColumn="0" w:noHBand="0" w:noVBand="1"/>
      </w:tblPr>
      <w:tblGrid>
        <w:gridCol w:w="1392"/>
        <w:gridCol w:w="6910"/>
      </w:tblGrid>
      <w:tr w:rsidR="00CD0105" w:rsidRPr="00CD0105" w14:paraId="6A174A70" w14:textId="77777777" w:rsidTr="00CE7581">
        <w:tc>
          <w:tcPr>
            <w:tcW w:w="1392" w:type="dxa"/>
            <w:shd w:val="clear" w:color="auto" w:fill="D9D9D9"/>
          </w:tcPr>
          <w:p w14:paraId="54241109" w14:textId="77777777" w:rsidR="00CD0105" w:rsidRPr="00CD0105" w:rsidRDefault="00CD0105" w:rsidP="00CD0105">
            <w:pPr>
              <w:spacing w:before="60" w:after="60" w:line="240" w:lineRule="auto"/>
              <w:jc w:val="left"/>
              <w:rPr>
                <w:b/>
                <w:bCs/>
              </w:rPr>
            </w:pPr>
            <w:r w:rsidRPr="00CD0105">
              <w:rPr>
                <w:b/>
                <w:bCs/>
              </w:rPr>
              <w:t>Outcome 3</w:t>
            </w:r>
          </w:p>
        </w:tc>
        <w:tc>
          <w:tcPr>
            <w:tcW w:w="6910" w:type="dxa"/>
            <w:shd w:val="clear" w:color="auto" w:fill="D9D9D9"/>
          </w:tcPr>
          <w:p w14:paraId="06AE5C4B" w14:textId="77777777" w:rsidR="00CD0105" w:rsidRPr="00CD0105" w:rsidRDefault="00CD0105" w:rsidP="00CD0105">
            <w:pPr>
              <w:spacing w:before="60" w:after="60" w:line="240" w:lineRule="auto"/>
              <w:jc w:val="left"/>
              <w:rPr>
                <w:b/>
                <w:bCs/>
              </w:rPr>
            </w:pPr>
            <w:bookmarkStart w:id="49" w:name="_Hlk172392201"/>
            <w:r w:rsidRPr="00CD0105">
              <w:rPr>
                <w:b/>
                <w:bCs/>
              </w:rPr>
              <w:t>High pressure processing mandated for Australian rendered meals</w:t>
            </w:r>
            <w:bookmarkEnd w:id="49"/>
          </w:p>
        </w:tc>
      </w:tr>
      <w:tr w:rsidR="00CD0105" w:rsidRPr="00CD0105" w14:paraId="1CD121BE" w14:textId="77777777" w:rsidTr="00CE7581">
        <w:tc>
          <w:tcPr>
            <w:tcW w:w="1392" w:type="dxa"/>
          </w:tcPr>
          <w:p w14:paraId="1A8F9670" w14:textId="77777777" w:rsidR="00CD0105" w:rsidRPr="00CD0105" w:rsidRDefault="00CD0105" w:rsidP="00CD0105">
            <w:pPr>
              <w:spacing w:before="60" w:after="60" w:line="240" w:lineRule="auto"/>
              <w:jc w:val="left"/>
            </w:pPr>
            <w:r w:rsidRPr="00CD0105">
              <w:t>Duration</w:t>
            </w:r>
          </w:p>
        </w:tc>
        <w:tc>
          <w:tcPr>
            <w:tcW w:w="6910" w:type="dxa"/>
          </w:tcPr>
          <w:p w14:paraId="118B01CF" w14:textId="77777777" w:rsidR="00CD0105" w:rsidRPr="00CD0105" w:rsidRDefault="00CD0105" w:rsidP="00CD0105">
            <w:pPr>
              <w:spacing w:before="60" w:after="60" w:line="240" w:lineRule="auto"/>
              <w:jc w:val="left"/>
            </w:pPr>
            <w:r w:rsidRPr="00CD0105">
              <w:t>Permanent</w:t>
            </w:r>
          </w:p>
        </w:tc>
      </w:tr>
      <w:tr w:rsidR="00CD0105" w:rsidRPr="00CD0105" w14:paraId="36070E58" w14:textId="77777777" w:rsidTr="00CE7581">
        <w:tc>
          <w:tcPr>
            <w:tcW w:w="1392" w:type="dxa"/>
          </w:tcPr>
          <w:p w14:paraId="1E082AB3" w14:textId="77777777" w:rsidR="00CD0105" w:rsidRPr="00CD0105" w:rsidRDefault="00CD0105" w:rsidP="00CD0105">
            <w:pPr>
              <w:spacing w:before="60" w:after="60" w:line="240" w:lineRule="auto"/>
              <w:jc w:val="left"/>
            </w:pPr>
            <w:r w:rsidRPr="00CD0105">
              <w:t>Cause</w:t>
            </w:r>
          </w:p>
        </w:tc>
        <w:tc>
          <w:tcPr>
            <w:tcW w:w="6910" w:type="dxa"/>
          </w:tcPr>
          <w:p w14:paraId="3A5AE31A" w14:textId="77777777" w:rsidR="00CD0105" w:rsidRPr="00CD0105" w:rsidRDefault="00CD0105" w:rsidP="00CD0105">
            <w:pPr>
              <w:spacing w:before="60" w:after="60" w:line="240" w:lineRule="auto"/>
              <w:jc w:val="left"/>
            </w:pPr>
            <w:r w:rsidRPr="00CD0105">
              <w:t>Australia not deemed to pass exposure assessment; and</w:t>
            </w:r>
          </w:p>
          <w:p w14:paraId="4BC740A0" w14:textId="77777777" w:rsidR="00CD0105" w:rsidRPr="00CD0105" w:rsidRDefault="00CD0105" w:rsidP="00CD0105">
            <w:pPr>
              <w:spacing w:before="60" w:after="60" w:line="240" w:lineRule="auto"/>
              <w:jc w:val="left"/>
            </w:pPr>
            <w:r w:rsidRPr="00CD0105">
              <w:t>Compliance with proposed trade recommendations</w:t>
            </w:r>
          </w:p>
        </w:tc>
      </w:tr>
      <w:tr w:rsidR="00CD0105" w:rsidRPr="00CD0105" w14:paraId="277F3AB1" w14:textId="77777777" w:rsidTr="00CE7581">
        <w:tc>
          <w:tcPr>
            <w:tcW w:w="1392" w:type="dxa"/>
          </w:tcPr>
          <w:p w14:paraId="47BE261A" w14:textId="77777777" w:rsidR="00CD0105" w:rsidRPr="00CD0105" w:rsidRDefault="00CD0105" w:rsidP="00CD0105">
            <w:pPr>
              <w:spacing w:before="60" w:after="60" w:line="240" w:lineRule="auto"/>
              <w:jc w:val="left"/>
            </w:pPr>
            <w:r w:rsidRPr="00CD0105">
              <w:t>Reference</w:t>
            </w:r>
          </w:p>
        </w:tc>
        <w:tc>
          <w:tcPr>
            <w:tcW w:w="6910" w:type="dxa"/>
          </w:tcPr>
          <w:p w14:paraId="64C88F01" w14:textId="77777777" w:rsidR="00CD0105" w:rsidRPr="00CD0105" w:rsidRDefault="00CD0105" w:rsidP="00CD0105">
            <w:pPr>
              <w:spacing w:before="60" w:after="60" w:line="240" w:lineRule="auto"/>
              <w:jc w:val="left"/>
            </w:pPr>
            <w:r w:rsidRPr="00CD0105">
              <w:t>Article 11.4.1 (Atypical BSE added to international standards)</w:t>
            </w:r>
          </w:p>
          <w:p w14:paraId="7D231837" w14:textId="77777777" w:rsidR="00CD0105" w:rsidRPr="00CD0105" w:rsidRDefault="00CD0105" w:rsidP="00CD0105">
            <w:pPr>
              <w:spacing w:before="60" w:after="60" w:line="240" w:lineRule="auto"/>
              <w:jc w:val="left"/>
            </w:pPr>
            <w:r w:rsidRPr="00CD0105">
              <w:t>Article 11.4.13 (Recommendations for importation of bovine-derived protein meal)</w:t>
            </w:r>
          </w:p>
          <w:p w14:paraId="4664E3AD" w14:textId="77777777" w:rsidR="00CD0105" w:rsidRPr="00CD0105" w:rsidRDefault="00CD0105" w:rsidP="00CD0105">
            <w:pPr>
              <w:spacing w:before="60" w:after="60" w:line="240" w:lineRule="auto"/>
              <w:jc w:val="left"/>
            </w:pPr>
            <w:r w:rsidRPr="00CD0105">
              <w:t>Article 11.4.19 (Procedures for reduction of BSE infectivity in bovine protein meal)</w:t>
            </w:r>
          </w:p>
        </w:tc>
      </w:tr>
    </w:tbl>
    <w:p w14:paraId="79FCE847" w14:textId="476D5751" w:rsidR="00C801B6" w:rsidRPr="00CD0105" w:rsidRDefault="00C801B6" w:rsidP="00FB6965">
      <w:pPr>
        <w:spacing w:before="240"/>
        <w:rPr>
          <w:rFonts w:eastAsia="Calibri"/>
        </w:rPr>
      </w:pPr>
      <w:r w:rsidRPr="00CD0105">
        <w:rPr>
          <w:rFonts w:eastAsia="Calibri"/>
        </w:rPr>
        <w:t xml:space="preserve">Article 11.4.19 provides </w:t>
      </w:r>
      <w:r w:rsidRPr="00CD0105">
        <w:rPr>
          <w:rFonts w:eastAsia="Calibri"/>
          <w:i/>
          <w:iCs/>
        </w:rPr>
        <w:t>Procedures for reduction of BSE infectivity in bovine protein meal</w:t>
      </w:r>
      <w:r w:rsidRPr="00CD0105">
        <w:rPr>
          <w:rFonts w:eastAsia="Calibri"/>
        </w:rPr>
        <w:t xml:space="preserve">. This involves processing at 133°C for a minimum of 20 minutes at an absolute pressure of 3 bar. This control has never been deemed necessary in Australia given the complete historical absence of the BSE agent. Only a small number of processors have the </w:t>
      </w:r>
      <w:r w:rsidR="008A5995">
        <w:rPr>
          <w:rFonts w:eastAsia="Calibri"/>
        </w:rPr>
        <w:t xml:space="preserve">necessary </w:t>
      </w:r>
      <w:r w:rsidRPr="00CD0105">
        <w:rPr>
          <w:rFonts w:eastAsia="Calibri"/>
        </w:rPr>
        <w:t xml:space="preserve">infrastructure to </w:t>
      </w:r>
      <w:r w:rsidR="008A5995">
        <w:rPr>
          <w:rFonts w:eastAsia="Calibri"/>
        </w:rPr>
        <w:t>meet</w:t>
      </w:r>
      <w:r w:rsidR="008A5995" w:rsidRPr="00CD0105">
        <w:rPr>
          <w:rFonts w:eastAsia="Calibri"/>
        </w:rPr>
        <w:t xml:space="preserve"> </w:t>
      </w:r>
      <w:r w:rsidRPr="00CD0105">
        <w:rPr>
          <w:rFonts w:eastAsia="Calibri"/>
        </w:rPr>
        <w:t xml:space="preserve">these specifications, which provides </w:t>
      </w:r>
      <w:r w:rsidR="006673C9">
        <w:rPr>
          <w:rFonts w:eastAsia="Calibri"/>
        </w:rPr>
        <w:t xml:space="preserve">them with </w:t>
      </w:r>
      <w:r w:rsidRPr="00CD0105">
        <w:rPr>
          <w:rFonts w:eastAsia="Calibri"/>
        </w:rPr>
        <w:t xml:space="preserve">access to the European Union market. </w:t>
      </w:r>
    </w:p>
    <w:p w14:paraId="15E5D4A1" w14:textId="43FFC479" w:rsidR="00CD0105" w:rsidRPr="00CD0105" w:rsidRDefault="00C801B6" w:rsidP="00C801B6">
      <w:pPr>
        <w:tabs>
          <w:tab w:val="left" w:pos="610"/>
        </w:tabs>
        <w:rPr>
          <w:rFonts w:eastAsia="Calibri"/>
        </w:rPr>
      </w:pPr>
      <w:r w:rsidRPr="00CD0105">
        <w:rPr>
          <w:rFonts w:eastAsia="Calibri"/>
        </w:rPr>
        <w:t xml:space="preserve">If WOAH had deemed that Australia did not pass the exposure assessment, the high-pressure processing of rendered meals </w:t>
      </w:r>
      <w:r w:rsidR="00E44CC8">
        <w:rPr>
          <w:rFonts w:eastAsia="Calibri"/>
        </w:rPr>
        <w:t xml:space="preserve">could be </w:t>
      </w:r>
      <w:r w:rsidRPr="00CD0105">
        <w:rPr>
          <w:rFonts w:eastAsia="Calibri"/>
        </w:rPr>
        <w:t xml:space="preserve">a possible </w:t>
      </w:r>
      <w:r w:rsidR="00E44CC8">
        <w:rPr>
          <w:rFonts w:eastAsia="Calibri"/>
        </w:rPr>
        <w:t xml:space="preserve">condition to this, </w:t>
      </w:r>
      <w:r w:rsidRPr="00CD0105">
        <w:rPr>
          <w:rFonts w:eastAsia="Calibri"/>
        </w:rPr>
        <w:t xml:space="preserve">based on international precedent. </w:t>
      </w:r>
      <w:r w:rsidR="00CD0105" w:rsidRPr="00CD0105">
        <w:rPr>
          <w:rFonts w:eastAsia="Calibri"/>
        </w:rPr>
        <w:t xml:space="preserve">Irrespective of the exposure assessment, it is possible that Australia would have needed to undertake high pressure processing of rendered meals to comply with the trade recommendation proposed at </w:t>
      </w:r>
      <w:r w:rsidR="00CD0105" w:rsidRPr="00CD0105">
        <w:rPr>
          <w:rFonts w:eastAsia="Calibri"/>
          <w:i/>
          <w:iCs/>
        </w:rPr>
        <w:t>Article 11.4.13. Recommendations for importation of bovine-derived protein meal from a country, zone or compartment posing a negligible BSE risk.</w:t>
      </w:r>
      <w:r w:rsidR="00CD0105" w:rsidRPr="00CD0105">
        <w:rPr>
          <w:rFonts w:eastAsia="Calibri"/>
        </w:rPr>
        <w:t xml:space="preserve"> This article </w:t>
      </w:r>
      <w:r w:rsidR="00674655">
        <w:rPr>
          <w:rFonts w:eastAsia="Calibri"/>
        </w:rPr>
        <w:t xml:space="preserve">would have </w:t>
      </w:r>
      <w:r w:rsidR="00CD0105" w:rsidRPr="00CD0105">
        <w:rPr>
          <w:rFonts w:eastAsia="Calibri"/>
        </w:rPr>
        <w:t>require</w:t>
      </w:r>
      <w:r w:rsidR="00674655">
        <w:rPr>
          <w:rFonts w:eastAsia="Calibri"/>
        </w:rPr>
        <w:t>d</w:t>
      </w:r>
      <w:r w:rsidR="00CD0105" w:rsidRPr="00CD0105">
        <w:rPr>
          <w:rFonts w:eastAsia="Calibri"/>
        </w:rPr>
        <w:t xml:space="preserve"> that either the meal is derived from cattle born before the period when the risk of the BSE </w:t>
      </w:r>
      <w:r w:rsidR="00CD0105" w:rsidRPr="00CD0105">
        <w:rPr>
          <w:rFonts w:eastAsia="Calibri"/>
        </w:rPr>
        <w:lastRenderedPageBreak/>
        <w:t xml:space="preserve">agents being recycled in the cattle population has been demonstrated to be negligible, or the procedures at Article 11.4.19 are complied with. </w:t>
      </w:r>
    </w:p>
    <w:p w14:paraId="2D1ADCB0" w14:textId="0624F18B" w:rsidR="001B78F5" w:rsidRDefault="00CD0105" w:rsidP="00E57DBE">
      <w:pPr>
        <w:tabs>
          <w:tab w:val="left" w:pos="610"/>
        </w:tabs>
        <w:rPr>
          <w:rFonts w:eastAsia="Calibri"/>
        </w:rPr>
      </w:pPr>
      <w:r w:rsidRPr="00CD0105">
        <w:rPr>
          <w:rFonts w:eastAsia="Calibri"/>
        </w:rPr>
        <w:t>This period was under active consideration by WOAH</w:t>
      </w:r>
      <w:r w:rsidR="003C2005">
        <w:rPr>
          <w:rFonts w:eastAsia="Calibri"/>
        </w:rPr>
        <w:t>. In addition,</w:t>
      </w:r>
      <w:r w:rsidRPr="00CD0105">
        <w:rPr>
          <w:rFonts w:eastAsia="Calibri"/>
        </w:rPr>
        <w:t xml:space="preserve"> the ability to identify material from sub-categories of cattle is highly problematic in the rendering industry where raw material is consolidated, including from secondary processors such as butchers.  </w:t>
      </w:r>
    </w:p>
    <w:p w14:paraId="7A910840" w14:textId="77777777" w:rsidR="00CD0105" w:rsidRPr="00CD0105" w:rsidRDefault="00CD0105" w:rsidP="00E57DBE">
      <w:pPr>
        <w:tabs>
          <w:tab w:val="left" w:pos="610"/>
        </w:tabs>
        <w:rPr>
          <w:rFonts w:eastAsia="Calibri"/>
        </w:rPr>
      </w:pPr>
      <w:r w:rsidRPr="00CD0105">
        <w:rPr>
          <w:rFonts w:eastAsia="Calibri"/>
        </w:rPr>
        <w:t>Clarity that high-pressure rendering would not be required was achieved:</w:t>
      </w:r>
    </w:p>
    <w:p w14:paraId="28F687EC" w14:textId="049AA693" w:rsidR="00CD0105" w:rsidRPr="00CD0105" w:rsidRDefault="00CD0105" w:rsidP="00C801B6">
      <w:pPr>
        <w:numPr>
          <w:ilvl w:val="0"/>
          <w:numId w:val="18"/>
        </w:numPr>
        <w:spacing w:before="60" w:after="60"/>
        <w:ind w:left="714" w:hanging="357"/>
        <w:rPr>
          <w:rFonts w:eastAsia="Calibri"/>
        </w:rPr>
      </w:pPr>
      <w:r w:rsidRPr="00CD0105">
        <w:rPr>
          <w:rFonts w:eastAsia="Calibri"/>
        </w:rPr>
        <w:t xml:space="preserve">After </w:t>
      </w:r>
      <w:r w:rsidR="00E44CC8">
        <w:rPr>
          <w:rFonts w:eastAsia="Calibri"/>
        </w:rPr>
        <w:t>scientific input</w:t>
      </w:r>
      <w:r w:rsidRPr="00CD0105">
        <w:rPr>
          <w:rFonts w:eastAsia="Calibri"/>
        </w:rPr>
        <w:t xml:space="preserve"> led to the removal of atypical BSE from the risk assessment process at consultation 6 in September 2022.</w:t>
      </w:r>
    </w:p>
    <w:p w14:paraId="14C92834" w14:textId="5D09010B" w:rsidR="00CD0105" w:rsidRPr="00CD0105" w:rsidRDefault="00CD0105" w:rsidP="00C801B6">
      <w:pPr>
        <w:numPr>
          <w:ilvl w:val="0"/>
          <w:numId w:val="18"/>
        </w:numPr>
        <w:spacing w:before="60" w:after="60"/>
        <w:ind w:left="714" w:hanging="357"/>
        <w:rPr>
          <w:rFonts w:eastAsia="Calibri"/>
        </w:rPr>
      </w:pPr>
      <w:r w:rsidRPr="00CD0105">
        <w:rPr>
          <w:rFonts w:eastAsia="Calibri"/>
        </w:rPr>
        <w:t>After advice in October 2022 that Australia’s negligible risk status would be maintained.</w:t>
      </w:r>
    </w:p>
    <w:p w14:paraId="0418009A" w14:textId="1C608BD7" w:rsidR="00CD0105" w:rsidRDefault="00CD0105" w:rsidP="00C801B6">
      <w:pPr>
        <w:numPr>
          <w:ilvl w:val="0"/>
          <w:numId w:val="18"/>
        </w:numPr>
        <w:spacing w:before="60" w:after="60"/>
        <w:ind w:left="714" w:hanging="357"/>
        <w:rPr>
          <w:rFonts w:eastAsia="Calibri"/>
        </w:rPr>
      </w:pPr>
      <w:r w:rsidRPr="00CD0105">
        <w:rPr>
          <w:rFonts w:eastAsia="Calibri"/>
        </w:rPr>
        <w:t>After advice in June 2023 that WOAH would publish 1999 as the date from which the risk of BSE agents being recycled in the Australian cattle population has been demonstrated to be negligible.</w:t>
      </w:r>
    </w:p>
    <w:p w14:paraId="17481358" w14:textId="77777777" w:rsidR="00C801B6" w:rsidRPr="00C801B6" w:rsidRDefault="00C801B6" w:rsidP="00C801B6">
      <w:pPr>
        <w:tabs>
          <w:tab w:val="left" w:pos="610"/>
        </w:tabs>
        <w:rPr>
          <w:rFonts w:eastAsia="Calibri"/>
        </w:rPr>
      </w:pPr>
      <w:r w:rsidRPr="00C801B6">
        <w:rPr>
          <w:rFonts w:eastAsia="Calibri"/>
        </w:rPr>
        <w:t>If this hadn’t been the case, then the impacts on the industry would have been as follows:</w:t>
      </w:r>
    </w:p>
    <w:tbl>
      <w:tblPr>
        <w:tblStyle w:val="TableGrid3"/>
        <w:tblW w:w="8357" w:type="dxa"/>
        <w:tblLook w:val="04A0" w:firstRow="1" w:lastRow="0" w:firstColumn="1" w:lastColumn="0" w:noHBand="0" w:noVBand="1"/>
      </w:tblPr>
      <w:tblGrid>
        <w:gridCol w:w="4649"/>
        <w:gridCol w:w="2121"/>
        <w:gridCol w:w="1587"/>
      </w:tblGrid>
      <w:tr w:rsidR="00CD0105" w:rsidRPr="00CD0105" w14:paraId="6EE08C06" w14:textId="77777777" w:rsidTr="007404AD">
        <w:tc>
          <w:tcPr>
            <w:tcW w:w="4649" w:type="dxa"/>
            <w:shd w:val="clear" w:color="auto" w:fill="D9D9D9"/>
          </w:tcPr>
          <w:p w14:paraId="27DBBFC8" w14:textId="77777777" w:rsidR="00CD0105" w:rsidRPr="00CD0105" w:rsidRDefault="00CD0105" w:rsidP="00CD0105">
            <w:pPr>
              <w:spacing w:before="0" w:line="240" w:lineRule="auto"/>
              <w:jc w:val="left"/>
              <w:rPr>
                <w:b/>
                <w:bCs/>
              </w:rPr>
            </w:pPr>
            <w:r w:rsidRPr="00CD0105">
              <w:rPr>
                <w:b/>
                <w:bCs/>
              </w:rPr>
              <w:t>Implications of Outcome 3</w:t>
            </w:r>
          </w:p>
        </w:tc>
        <w:tc>
          <w:tcPr>
            <w:tcW w:w="2121" w:type="dxa"/>
            <w:shd w:val="clear" w:color="auto" w:fill="D9D9D9"/>
          </w:tcPr>
          <w:p w14:paraId="34591919" w14:textId="77777777" w:rsidR="00CD0105" w:rsidRPr="00CD0105" w:rsidRDefault="00CD0105" w:rsidP="00CD0105">
            <w:pPr>
              <w:spacing w:before="0" w:line="240" w:lineRule="auto"/>
              <w:jc w:val="left"/>
              <w:rPr>
                <w:b/>
                <w:bCs/>
              </w:rPr>
            </w:pPr>
            <w:r w:rsidRPr="00CD0105">
              <w:rPr>
                <w:b/>
                <w:bCs/>
              </w:rPr>
              <w:t>Affected Industry</w:t>
            </w:r>
          </w:p>
        </w:tc>
        <w:tc>
          <w:tcPr>
            <w:tcW w:w="1587" w:type="dxa"/>
            <w:shd w:val="clear" w:color="auto" w:fill="D9D9D9"/>
          </w:tcPr>
          <w:p w14:paraId="5924ABD2" w14:textId="77777777" w:rsidR="00CD0105" w:rsidRPr="00CD0105" w:rsidRDefault="00CD0105" w:rsidP="00CD0105">
            <w:pPr>
              <w:spacing w:before="0" w:line="240" w:lineRule="auto"/>
              <w:jc w:val="left"/>
              <w:rPr>
                <w:b/>
                <w:bCs/>
              </w:rPr>
            </w:pPr>
            <w:r w:rsidRPr="00CD0105">
              <w:rPr>
                <w:b/>
                <w:bCs/>
              </w:rPr>
              <w:t>Data holder</w:t>
            </w:r>
          </w:p>
        </w:tc>
      </w:tr>
      <w:tr w:rsidR="00CD0105" w:rsidRPr="00CD0105" w14:paraId="798960FF" w14:textId="77777777" w:rsidTr="007404AD">
        <w:tc>
          <w:tcPr>
            <w:tcW w:w="4649" w:type="dxa"/>
          </w:tcPr>
          <w:p w14:paraId="3768C23C" w14:textId="77777777" w:rsidR="00CD0105" w:rsidRPr="00CD0105" w:rsidRDefault="00CD0105" w:rsidP="00CD0105">
            <w:pPr>
              <w:spacing w:before="0" w:line="240" w:lineRule="auto"/>
              <w:jc w:val="left"/>
            </w:pPr>
            <w:r w:rsidRPr="00CD0105">
              <w:t>Majority of Australian export rendering establishments require infrastructure upgrade</w:t>
            </w:r>
          </w:p>
        </w:tc>
        <w:tc>
          <w:tcPr>
            <w:tcW w:w="2121" w:type="dxa"/>
          </w:tcPr>
          <w:p w14:paraId="48F03B9B" w14:textId="77777777" w:rsidR="00CD0105" w:rsidRPr="00CD0105" w:rsidRDefault="00CD0105" w:rsidP="00CD0105">
            <w:pPr>
              <w:spacing w:before="0" w:line="240" w:lineRule="auto"/>
              <w:jc w:val="left"/>
            </w:pPr>
            <w:r w:rsidRPr="00CD0105">
              <w:t>Rendering</w:t>
            </w:r>
          </w:p>
        </w:tc>
        <w:tc>
          <w:tcPr>
            <w:tcW w:w="1587" w:type="dxa"/>
          </w:tcPr>
          <w:p w14:paraId="432B91E9" w14:textId="77777777" w:rsidR="00CD0105" w:rsidRPr="00CD0105" w:rsidRDefault="00CD0105" w:rsidP="00CD0105">
            <w:pPr>
              <w:spacing w:before="0" w:line="240" w:lineRule="auto"/>
              <w:jc w:val="left"/>
            </w:pPr>
            <w:r w:rsidRPr="00CD0105">
              <w:t>ARA</w:t>
            </w:r>
          </w:p>
        </w:tc>
      </w:tr>
      <w:tr w:rsidR="00CD0105" w:rsidRPr="00CD0105" w14:paraId="5E069788" w14:textId="77777777" w:rsidTr="007404AD">
        <w:tc>
          <w:tcPr>
            <w:tcW w:w="4649" w:type="dxa"/>
          </w:tcPr>
          <w:p w14:paraId="265B102C" w14:textId="77777777" w:rsidR="00CD0105" w:rsidRPr="00CD0105" w:rsidRDefault="00CD0105" w:rsidP="00CD0105">
            <w:pPr>
              <w:spacing w:before="0" w:line="240" w:lineRule="auto"/>
              <w:jc w:val="left"/>
            </w:pPr>
            <w:r w:rsidRPr="00CD0105">
              <w:t>Increased energy input cost for processing</w:t>
            </w:r>
          </w:p>
        </w:tc>
        <w:tc>
          <w:tcPr>
            <w:tcW w:w="2121" w:type="dxa"/>
          </w:tcPr>
          <w:p w14:paraId="0E883371" w14:textId="77777777" w:rsidR="00CD0105" w:rsidRPr="00CD0105" w:rsidRDefault="00CD0105" w:rsidP="00CD0105">
            <w:pPr>
              <w:spacing w:before="0" w:line="240" w:lineRule="auto"/>
              <w:jc w:val="left"/>
            </w:pPr>
            <w:r w:rsidRPr="00CD0105">
              <w:t>Rendering</w:t>
            </w:r>
          </w:p>
        </w:tc>
        <w:tc>
          <w:tcPr>
            <w:tcW w:w="1587" w:type="dxa"/>
          </w:tcPr>
          <w:p w14:paraId="1A2A2628" w14:textId="77777777" w:rsidR="00CD0105" w:rsidRPr="00CD0105" w:rsidRDefault="00CD0105" w:rsidP="00CD0105">
            <w:pPr>
              <w:spacing w:before="0" w:line="240" w:lineRule="auto"/>
              <w:jc w:val="left"/>
            </w:pPr>
            <w:r w:rsidRPr="00CD0105">
              <w:t>ARA</w:t>
            </w:r>
          </w:p>
        </w:tc>
      </w:tr>
      <w:tr w:rsidR="00CD0105" w:rsidRPr="00CD0105" w14:paraId="53ABC832" w14:textId="77777777" w:rsidTr="007404AD">
        <w:tc>
          <w:tcPr>
            <w:tcW w:w="4649" w:type="dxa"/>
          </w:tcPr>
          <w:p w14:paraId="3DF035CA" w14:textId="77777777" w:rsidR="00CD0105" w:rsidRPr="00CD0105" w:rsidRDefault="00CD0105" w:rsidP="00CD0105">
            <w:pPr>
              <w:spacing w:before="0" w:line="240" w:lineRule="auto"/>
              <w:jc w:val="left"/>
            </w:pPr>
            <w:r w:rsidRPr="00CD0105">
              <w:t>Decreased nutritional and financial value of product</w:t>
            </w:r>
          </w:p>
        </w:tc>
        <w:tc>
          <w:tcPr>
            <w:tcW w:w="2121" w:type="dxa"/>
          </w:tcPr>
          <w:p w14:paraId="434C6A1D" w14:textId="77777777" w:rsidR="00CD0105" w:rsidRPr="00CD0105" w:rsidRDefault="00CD0105" w:rsidP="00CD0105">
            <w:pPr>
              <w:spacing w:before="0" w:line="240" w:lineRule="auto"/>
              <w:jc w:val="left"/>
            </w:pPr>
            <w:r w:rsidRPr="00CD0105">
              <w:t>Rendering</w:t>
            </w:r>
          </w:p>
        </w:tc>
        <w:tc>
          <w:tcPr>
            <w:tcW w:w="1587" w:type="dxa"/>
          </w:tcPr>
          <w:p w14:paraId="658FAB4E" w14:textId="77777777" w:rsidR="00CD0105" w:rsidRPr="00CD0105" w:rsidRDefault="00CD0105" w:rsidP="00CD0105">
            <w:pPr>
              <w:spacing w:before="0" w:line="240" w:lineRule="auto"/>
              <w:jc w:val="left"/>
            </w:pPr>
            <w:r w:rsidRPr="00CD0105">
              <w:t>ARA</w:t>
            </w:r>
          </w:p>
        </w:tc>
      </w:tr>
      <w:tr w:rsidR="00CD0105" w:rsidRPr="00CD0105" w14:paraId="2CC6E097" w14:textId="77777777" w:rsidTr="007404AD">
        <w:tc>
          <w:tcPr>
            <w:tcW w:w="4649" w:type="dxa"/>
          </w:tcPr>
          <w:p w14:paraId="002BFF7C" w14:textId="77777777" w:rsidR="00CD0105" w:rsidRPr="00CD0105" w:rsidRDefault="00CD0105" w:rsidP="00CD0105">
            <w:pPr>
              <w:spacing w:before="0" w:line="240" w:lineRule="auto"/>
              <w:jc w:val="left"/>
            </w:pPr>
            <w:r w:rsidRPr="00CD0105">
              <w:t>Increased worker safety risk</w:t>
            </w:r>
          </w:p>
        </w:tc>
        <w:tc>
          <w:tcPr>
            <w:tcW w:w="2121" w:type="dxa"/>
          </w:tcPr>
          <w:p w14:paraId="32F4D8F1" w14:textId="77777777" w:rsidR="00CD0105" w:rsidRPr="00CD0105" w:rsidRDefault="00CD0105" w:rsidP="00CD0105">
            <w:pPr>
              <w:spacing w:before="0" w:line="240" w:lineRule="auto"/>
              <w:jc w:val="left"/>
            </w:pPr>
            <w:r w:rsidRPr="00CD0105">
              <w:t>Rendering</w:t>
            </w:r>
          </w:p>
        </w:tc>
        <w:tc>
          <w:tcPr>
            <w:tcW w:w="1587" w:type="dxa"/>
          </w:tcPr>
          <w:p w14:paraId="7633656C" w14:textId="77777777" w:rsidR="00CD0105" w:rsidRPr="00CD0105" w:rsidRDefault="00CD0105" w:rsidP="00CD0105">
            <w:pPr>
              <w:spacing w:before="0" w:line="240" w:lineRule="auto"/>
              <w:jc w:val="left"/>
            </w:pPr>
            <w:r w:rsidRPr="00CD0105">
              <w:t>ARA</w:t>
            </w:r>
          </w:p>
        </w:tc>
      </w:tr>
    </w:tbl>
    <w:p w14:paraId="64A2BA2C" w14:textId="77777777" w:rsidR="00CD0105" w:rsidRPr="00CD0105" w:rsidRDefault="00CD0105" w:rsidP="00CD0105">
      <w:pPr>
        <w:spacing w:line="240" w:lineRule="auto"/>
        <w:jc w:val="left"/>
        <w:rPr>
          <w:rFonts w:ascii="Calibri" w:eastAsia="Calibri" w:hAnsi="Calibri"/>
          <w:sz w:val="22"/>
          <w:szCs w:val="22"/>
        </w:rPr>
      </w:pPr>
    </w:p>
    <w:p w14:paraId="337C07C3" w14:textId="5A6A4C4B" w:rsidR="007404AD" w:rsidRPr="00C801B6" w:rsidRDefault="007404AD" w:rsidP="007404AD">
      <w:pPr>
        <w:spacing w:before="240"/>
        <w:rPr>
          <w:rFonts w:eastAsia="Calibri"/>
          <w:i/>
        </w:rPr>
      </w:pPr>
      <w:r w:rsidRPr="00C801B6">
        <w:rPr>
          <w:rFonts w:eastAsia="Calibri"/>
          <w:i/>
        </w:rPr>
        <w:t xml:space="preserve">Outcome </w:t>
      </w:r>
      <w:r>
        <w:rPr>
          <w:rFonts w:eastAsia="Calibri"/>
          <w:i/>
        </w:rPr>
        <w:t>4</w:t>
      </w:r>
    </w:p>
    <w:tbl>
      <w:tblPr>
        <w:tblStyle w:val="TableGrid3"/>
        <w:tblW w:w="0" w:type="auto"/>
        <w:tblLook w:val="04A0" w:firstRow="1" w:lastRow="0" w:firstColumn="1" w:lastColumn="0" w:noHBand="0" w:noVBand="1"/>
      </w:tblPr>
      <w:tblGrid>
        <w:gridCol w:w="1382"/>
        <w:gridCol w:w="6920"/>
      </w:tblGrid>
      <w:tr w:rsidR="00CD0105" w:rsidRPr="00CD0105" w14:paraId="71D959DF" w14:textId="77777777" w:rsidTr="007404AD">
        <w:tc>
          <w:tcPr>
            <w:tcW w:w="1382" w:type="dxa"/>
            <w:shd w:val="clear" w:color="auto" w:fill="D9D9D9"/>
          </w:tcPr>
          <w:p w14:paraId="46962815" w14:textId="77777777" w:rsidR="00CD0105" w:rsidRPr="00CD0105" w:rsidRDefault="00CD0105" w:rsidP="00CD0105">
            <w:pPr>
              <w:spacing w:before="60" w:after="60" w:line="240" w:lineRule="auto"/>
              <w:jc w:val="left"/>
              <w:rPr>
                <w:b/>
                <w:bCs/>
              </w:rPr>
            </w:pPr>
            <w:r w:rsidRPr="00CD0105">
              <w:rPr>
                <w:b/>
                <w:bCs/>
              </w:rPr>
              <w:t>Outcome 4</w:t>
            </w:r>
          </w:p>
        </w:tc>
        <w:tc>
          <w:tcPr>
            <w:tcW w:w="6920" w:type="dxa"/>
            <w:shd w:val="clear" w:color="auto" w:fill="D9D9D9"/>
          </w:tcPr>
          <w:p w14:paraId="098C9914" w14:textId="77777777" w:rsidR="00CD0105" w:rsidRPr="00CD0105" w:rsidRDefault="00CD0105" w:rsidP="00CD0105">
            <w:pPr>
              <w:spacing w:before="60" w:after="60" w:line="240" w:lineRule="auto"/>
              <w:jc w:val="left"/>
              <w:rPr>
                <w:b/>
                <w:bCs/>
              </w:rPr>
            </w:pPr>
            <w:bookmarkStart w:id="50" w:name="_Hlk174537018"/>
            <w:r w:rsidRPr="00CD0105">
              <w:rPr>
                <w:b/>
                <w:bCs/>
              </w:rPr>
              <w:t>Dedicated feed lines are mandated for the production of ruminant feed</w:t>
            </w:r>
            <w:bookmarkEnd w:id="50"/>
          </w:p>
        </w:tc>
      </w:tr>
      <w:tr w:rsidR="00CD0105" w:rsidRPr="00CD0105" w14:paraId="7735E361" w14:textId="77777777" w:rsidTr="007404AD">
        <w:tc>
          <w:tcPr>
            <w:tcW w:w="1382" w:type="dxa"/>
          </w:tcPr>
          <w:p w14:paraId="3A59B666" w14:textId="77777777" w:rsidR="00CD0105" w:rsidRPr="00CD0105" w:rsidRDefault="00CD0105" w:rsidP="00CD0105">
            <w:pPr>
              <w:spacing w:before="60" w:after="60" w:line="240" w:lineRule="auto"/>
              <w:jc w:val="left"/>
            </w:pPr>
            <w:r w:rsidRPr="00CD0105">
              <w:t>Duration</w:t>
            </w:r>
          </w:p>
        </w:tc>
        <w:tc>
          <w:tcPr>
            <w:tcW w:w="6920" w:type="dxa"/>
          </w:tcPr>
          <w:p w14:paraId="1EB74099" w14:textId="77777777" w:rsidR="00CD0105" w:rsidRPr="00CD0105" w:rsidRDefault="00CD0105" w:rsidP="00CD0105">
            <w:pPr>
              <w:spacing w:before="60" w:after="60" w:line="240" w:lineRule="auto"/>
              <w:jc w:val="left"/>
            </w:pPr>
            <w:r w:rsidRPr="00CD0105">
              <w:t>Permanent</w:t>
            </w:r>
          </w:p>
        </w:tc>
      </w:tr>
      <w:tr w:rsidR="00CD0105" w:rsidRPr="00CD0105" w14:paraId="5BABEF0C" w14:textId="77777777" w:rsidTr="007404AD">
        <w:tc>
          <w:tcPr>
            <w:tcW w:w="1382" w:type="dxa"/>
          </w:tcPr>
          <w:p w14:paraId="6960EA1C" w14:textId="77777777" w:rsidR="00CD0105" w:rsidRPr="00CD0105" w:rsidRDefault="00CD0105" w:rsidP="00CD0105">
            <w:pPr>
              <w:spacing w:before="60" w:after="60" w:line="240" w:lineRule="auto"/>
              <w:jc w:val="left"/>
            </w:pPr>
            <w:r w:rsidRPr="00CD0105">
              <w:t>Cause</w:t>
            </w:r>
          </w:p>
        </w:tc>
        <w:tc>
          <w:tcPr>
            <w:tcW w:w="6920" w:type="dxa"/>
          </w:tcPr>
          <w:p w14:paraId="46022756" w14:textId="77777777" w:rsidR="00CD0105" w:rsidRPr="00CD0105" w:rsidRDefault="00CD0105" w:rsidP="00CD0105">
            <w:pPr>
              <w:spacing w:before="60" w:after="60" w:line="240" w:lineRule="auto"/>
              <w:jc w:val="left"/>
            </w:pPr>
            <w:r w:rsidRPr="00CD0105">
              <w:t>Australia not deemed to pass exposure assessment</w:t>
            </w:r>
          </w:p>
        </w:tc>
      </w:tr>
      <w:tr w:rsidR="00CD0105" w:rsidRPr="00CD0105" w14:paraId="36EA5E87" w14:textId="77777777" w:rsidTr="007404AD">
        <w:tc>
          <w:tcPr>
            <w:tcW w:w="1382" w:type="dxa"/>
          </w:tcPr>
          <w:p w14:paraId="6DFE9345" w14:textId="77777777" w:rsidR="00CD0105" w:rsidRPr="00CD0105" w:rsidRDefault="00CD0105" w:rsidP="00CD0105">
            <w:pPr>
              <w:spacing w:before="60" w:after="60" w:line="240" w:lineRule="auto"/>
              <w:jc w:val="left"/>
            </w:pPr>
            <w:r w:rsidRPr="00CD0105">
              <w:t>Reference</w:t>
            </w:r>
          </w:p>
        </w:tc>
        <w:tc>
          <w:tcPr>
            <w:tcW w:w="6920" w:type="dxa"/>
          </w:tcPr>
          <w:p w14:paraId="5A64BE31" w14:textId="77777777" w:rsidR="00CD0105" w:rsidRPr="00CD0105" w:rsidRDefault="00CD0105" w:rsidP="00CD0105">
            <w:pPr>
              <w:spacing w:before="60" w:after="60" w:line="240" w:lineRule="auto"/>
              <w:jc w:val="left"/>
            </w:pPr>
            <w:r w:rsidRPr="00CD0105">
              <w:t xml:space="preserve">Article 11.4.1 (Atypical BSE added to international standards) </w:t>
            </w:r>
          </w:p>
          <w:p w14:paraId="65E14F04" w14:textId="77777777" w:rsidR="00CD0105" w:rsidRPr="00CD0105" w:rsidRDefault="00CD0105" w:rsidP="00CD0105">
            <w:pPr>
              <w:spacing w:before="60" w:after="60" w:line="240" w:lineRule="auto"/>
              <w:jc w:val="left"/>
            </w:pPr>
            <w:r w:rsidRPr="00CD0105">
              <w:t>Article 1.8.4, Point 2) v. (Exposure assessment details)</w:t>
            </w:r>
          </w:p>
          <w:p w14:paraId="0FA137E7" w14:textId="77777777" w:rsidR="00CD0105" w:rsidRPr="00CD0105" w:rsidRDefault="00CD0105" w:rsidP="00CD0105">
            <w:pPr>
              <w:spacing w:before="60" w:after="60" w:line="240" w:lineRule="auto"/>
              <w:jc w:val="left"/>
            </w:pPr>
            <w:r w:rsidRPr="00CD0105">
              <w:t xml:space="preserve">Final outcome of BSE status evaluation (Ref: AC/MKP/SB-SD.054). </w:t>
            </w:r>
          </w:p>
        </w:tc>
      </w:tr>
    </w:tbl>
    <w:p w14:paraId="251C32B8" w14:textId="77777777" w:rsidR="00CD0105" w:rsidRPr="00CD0105" w:rsidRDefault="00CD0105" w:rsidP="00FB6965">
      <w:pPr>
        <w:tabs>
          <w:tab w:val="left" w:pos="610"/>
        </w:tabs>
        <w:spacing w:before="240"/>
        <w:rPr>
          <w:rFonts w:eastAsia="Calibri"/>
        </w:rPr>
      </w:pPr>
      <w:r w:rsidRPr="00CD0105">
        <w:rPr>
          <w:rFonts w:eastAsia="Calibri"/>
        </w:rPr>
        <w:t xml:space="preserve">A core international control for BSE is the enforcement of a ruminant-to-ruminant feed ban. Additional assurance that ruminant feed does not contain ruminant material can be achieved by establishing dedicated ruminant and non-ruminant production lines in feed mills. This segregation has never been enforced in Australia given robust control and auditing processes and the complete historical absence of the BSE agent. </w:t>
      </w:r>
    </w:p>
    <w:p w14:paraId="45D272A4" w14:textId="536B4063" w:rsidR="00CD0105" w:rsidRPr="00CD0105" w:rsidRDefault="00CD0105" w:rsidP="00866F81">
      <w:pPr>
        <w:tabs>
          <w:tab w:val="left" w:pos="610"/>
        </w:tabs>
        <w:rPr>
          <w:rFonts w:eastAsia="Calibri"/>
        </w:rPr>
      </w:pPr>
      <w:r w:rsidRPr="00CD0105">
        <w:rPr>
          <w:rFonts w:eastAsia="Calibri"/>
        </w:rPr>
        <w:lastRenderedPageBreak/>
        <w:t>At the conclusion of WOAH’s exposure assessment of Australia</w:t>
      </w:r>
      <w:r w:rsidR="00BE6AC6">
        <w:rPr>
          <w:rFonts w:eastAsia="Calibri"/>
        </w:rPr>
        <w:t xml:space="preserve"> (October 2022)</w:t>
      </w:r>
      <w:r w:rsidRPr="00CD0105">
        <w:rPr>
          <w:rFonts w:eastAsia="Calibri"/>
        </w:rPr>
        <w:t>, two recommendations were provided. One of these was:</w:t>
      </w:r>
    </w:p>
    <w:p w14:paraId="3584E774" w14:textId="57A5411E" w:rsidR="00CD0105" w:rsidRPr="00CD0105" w:rsidRDefault="002B6C8A" w:rsidP="00866F81">
      <w:pPr>
        <w:numPr>
          <w:ilvl w:val="0"/>
          <w:numId w:val="19"/>
        </w:numPr>
        <w:rPr>
          <w:rFonts w:eastAsia="Calibri"/>
          <w:i/>
          <w:iCs/>
        </w:rPr>
      </w:pPr>
      <w:r w:rsidRPr="00CD0105">
        <w:rPr>
          <w:rFonts w:eastAsia="Calibri"/>
          <w:i/>
          <w:iCs/>
        </w:rPr>
        <w:t>Implement dedicated lines in feed mills and further legislate and control on-farm production of rations where the same mixing, handling, or storage equipment could be used for the production of feed.</w:t>
      </w:r>
    </w:p>
    <w:p w14:paraId="2C38AA11" w14:textId="412EDF40" w:rsidR="00175A41" w:rsidRPr="00C801B6" w:rsidRDefault="00CD0105" w:rsidP="00175A41">
      <w:pPr>
        <w:tabs>
          <w:tab w:val="left" w:pos="610"/>
        </w:tabs>
        <w:rPr>
          <w:rFonts w:eastAsia="Calibri"/>
        </w:rPr>
      </w:pPr>
      <w:r w:rsidRPr="00CD0105">
        <w:rPr>
          <w:rFonts w:eastAsia="Calibri"/>
        </w:rPr>
        <w:t xml:space="preserve">If atypical BSE had not been removed from the risk assessment process, it is </w:t>
      </w:r>
      <w:r w:rsidR="00E44CC8">
        <w:rPr>
          <w:rFonts w:eastAsia="Calibri"/>
        </w:rPr>
        <w:t>possible</w:t>
      </w:r>
      <w:r w:rsidR="00E44CC8" w:rsidRPr="00CD0105">
        <w:rPr>
          <w:rFonts w:eastAsia="Calibri"/>
        </w:rPr>
        <w:t xml:space="preserve"> </w:t>
      </w:r>
      <w:r w:rsidRPr="00CD0105">
        <w:rPr>
          <w:rFonts w:eastAsia="Calibri"/>
        </w:rPr>
        <w:t xml:space="preserve">that this would have been </w:t>
      </w:r>
      <w:r w:rsidR="00E44CC8">
        <w:rPr>
          <w:rFonts w:eastAsia="Calibri"/>
        </w:rPr>
        <w:t xml:space="preserve">a condition </w:t>
      </w:r>
      <w:r w:rsidRPr="00CD0105">
        <w:rPr>
          <w:rFonts w:eastAsia="Calibri"/>
        </w:rPr>
        <w:t xml:space="preserve">rather than provided as a recommendation. </w:t>
      </w:r>
      <w:r w:rsidR="00175A41">
        <w:rPr>
          <w:rFonts w:eastAsia="Calibri"/>
        </w:rPr>
        <w:t>I</w:t>
      </w:r>
      <w:r w:rsidR="00175A41" w:rsidRPr="00C801B6">
        <w:rPr>
          <w:rFonts w:eastAsia="Calibri"/>
        </w:rPr>
        <w:t>mpacts on the industry would have been as follows:</w:t>
      </w:r>
    </w:p>
    <w:tbl>
      <w:tblPr>
        <w:tblStyle w:val="TableGrid3"/>
        <w:tblW w:w="0" w:type="auto"/>
        <w:tblLook w:val="04A0" w:firstRow="1" w:lastRow="0" w:firstColumn="1" w:lastColumn="0" w:noHBand="0" w:noVBand="1"/>
      </w:tblPr>
      <w:tblGrid>
        <w:gridCol w:w="4012"/>
        <w:gridCol w:w="2129"/>
        <w:gridCol w:w="2161"/>
      </w:tblGrid>
      <w:tr w:rsidR="00CD0105" w:rsidRPr="00CD0105" w14:paraId="4352567A" w14:textId="77777777" w:rsidTr="001B78F5">
        <w:tc>
          <w:tcPr>
            <w:tcW w:w="4012" w:type="dxa"/>
            <w:shd w:val="clear" w:color="auto" w:fill="D9D9D9"/>
          </w:tcPr>
          <w:p w14:paraId="7D0D1414" w14:textId="77777777" w:rsidR="00CD0105" w:rsidRPr="00CD0105" w:rsidRDefault="00CD0105" w:rsidP="00CD0105">
            <w:pPr>
              <w:spacing w:before="0" w:line="240" w:lineRule="auto"/>
              <w:jc w:val="left"/>
              <w:rPr>
                <w:b/>
                <w:bCs/>
              </w:rPr>
            </w:pPr>
            <w:r w:rsidRPr="00CD0105">
              <w:rPr>
                <w:b/>
                <w:bCs/>
              </w:rPr>
              <w:t>Implications of Outcome 4</w:t>
            </w:r>
          </w:p>
        </w:tc>
        <w:tc>
          <w:tcPr>
            <w:tcW w:w="2129" w:type="dxa"/>
            <w:shd w:val="clear" w:color="auto" w:fill="D9D9D9"/>
          </w:tcPr>
          <w:p w14:paraId="79C8432A" w14:textId="77777777" w:rsidR="00CD0105" w:rsidRPr="00CD0105" w:rsidRDefault="00CD0105" w:rsidP="00CD0105">
            <w:pPr>
              <w:spacing w:before="0" w:line="240" w:lineRule="auto"/>
              <w:jc w:val="left"/>
              <w:rPr>
                <w:b/>
                <w:bCs/>
              </w:rPr>
            </w:pPr>
            <w:r w:rsidRPr="00CD0105">
              <w:rPr>
                <w:b/>
                <w:bCs/>
              </w:rPr>
              <w:t>Affected Industry</w:t>
            </w:r>
          </w:p>
        </w:tc>
        <w:tc>
          <w:tcPr>
            <w:tcW w:w="2161" w:type="dxa"/>
            <w:shd w:val="clear" w:color="auto" w:fill="D9D9D9"/>
          </w:tcPr>
          <w:p w14:paraId="12C5A4DC" w14:textId="77777777" w:rsidR="00CD0105" w:rsidRPr="00CD0105" w:rsidRDefault="00CD0105" w:rsidP="00CD0105">
            <w:pPr>
              <w:spacing w:before="0" w:line="240" w:lineRule="auto"/>
              <w:jc w:val="left"/>
              <w:rPr>
                <w:b/>
                <w:bCs/>
              </w:rPr>
            </w:pPr>
            <w:r w:rsidRPr="00CD0105">
              <w:rPr>
                <w:b/>
                <w:bCs/>
              </w:rPr>
              <w:t>Data holder</w:t>
            </w:r>
          </w:p>
        </w:tc>
      </w:tr>
      <w:tr w:rsidR="00CD0105" w:rsidRPr="00CD0105" w14:paraId="573F389F" w14:textId="77777777" w:rsidTr="001B78F5">
        <w:tc>
          <w:tcPr>
            <w:tcW w:w="4012" w:type="dxa"/>
          </w:tcPr>
          <w:p w14:paraId="48CC55E5" w14:textId="77777777" w:rsidR="00CD0105" w:rsidRPr="00CD0105" w:rsidRDefault="00CD0105" w:rsidP="00CD0105">
            <w:pPr>
              <w:spacing w:before="0" w:line="240" w:lineRule="auto"/>
              <w:jc w:val="left"/>
            </w:pPr>
            <w:r w:rsidRPr="00CD0105">
              <w:t>Feed mills without dedicated lines would need to install new infrastructure, or elect to produce uniquely ruminant or non-ruminant feed.</w:t>
            </w:r>
          </w:p>
        </w:tc>
        <w:tc>
          <w:tcPr>
            <w:tcW w:w="2129" w:type="dxa"/>
          </w:tcPr>
          <w:p w14:paraId="62080848" w14:textId="77777777" w:rsidR="00CD0105" w:rsidRPr="00CD0105" w:rsidRDefault="00CD0105" w:rsidP="00CD0105">
            <w:pPr>
              <w:spacing w:before="0" w:line="240" w:lineRule="auto"/>
              <w:jc w:val="left"/>
            </w:pPr>
            <w:r w:rsidRPr="00CD0105">
              <w:t>Feed production</w:t>
            </w:r>
          </w:p>
        </w:tc>
        <w:tc>
          <w:tcPr>
            <w:tcW w:w="2161" w:type="dxa"/>
          </w:tcPr>
          <w:p w14:paraId="6932A70B" w14:textId="77777777" w:rsidR="00CD0105" w:rsidRPr="00CD0105" w:rsidRDefault="00CD0105" w:rsidP="00CD0105">
            <w:pPr>
              <w:spacing w:before="0" w:line="240" w:lineRule="auto"/>
              <w:jc w:val="left"/>
            </w:pPr>
            <w:r w:rsidRPr="00CD0105">
              <w:t>SFMCA</w:t>
            </w:r>
          </w:p>
        </w:tc>
      </w:tr>
      <w:tr w:rsidR="00CD0105" w:rsidRPr="00CD0105" w14:paraId="5E7D2D4D" w14:textId="77777777" w:rsidTr="001B78F5">
        <w:tc>
          <w:tcPr>
            <w:tcW w:w="4012" w:type="dxa"/>
          </w:tcPr>
          <w:p w14:paraId="2F6C0D9F" w14:textId="77777777" w:rsidR="00CD0105" w:rsidRPr="00CD0105" w:rsidRDefault="00CD0105" w:rsidP="00CD0105">
            <w:pPr>
              <w:spacing w:before="0" w:line="240" w:lineRule="auto"/>
              <w:jc w:val="left"/>
            </w:pPr>
            <w:r w:rsidRPr="00CD0105">
              <w:t>Additional maintenance and staff costs from running additional production lines.</w:t>
            </w:r>
          </w:p>
        </w:tc>
        <w:tc>
          <w:tcPr>
            <w:tcW w:w="2129" w:type="dxa"/>
          </w:tcPr>
          <w:p w14:paraId="5F5348C7" w14:textId="77777777" w:rsidR="00CD0105" w:rsidRPr="00CD0105" w:rsidRDefault="00CD0105" w:rsidP="00CD0105">
            <w:pPr>
              <w:spacing w:before="0" w:line="240" w:lineRule="auto"/>
              <w:jc w:val="left"/>
            </w:pPr>
            <w:r w:rsidRPr="00CD0105">
              <w:t>Feed production</w:t>
            </w:r>
          </w:p>
        </w:tc>
        <w:tc>
          <w:tcPr>
            <w:tcW w:w="2161" w:type="dxa"/>
          </w:tcPr>
          <w:p w14:paraId="191BE717" w14:textId="77777777" w:rsidR="00CD0105" w:rsidRPr="00CD0105" w:rsidRDefault="00CD0105" w:rsidP="00CD0105">
            <w:pPr>
              <w:spacing w:before="0" w:line="240" w:lineRule="auto"/>
              <w:jc w:val="left"/>
            </w:pPr>
            <w:r w:rsidRPr="00CD0105">
              <w:t>SFMCA</w:t>
            </w:r>
          </w:p>
        </w:tc>
      </w:tr>
    </w:tbl>
    <w:p w14:paraId="6637378B" w14:textId="0974BFFE" w:rsidR="001B358E" w:rsidRDefault="001B358E">
      <w:pPr>
        <w:spacing w:before="0" w:after="0" w:line="240" w:lineRule="auto"/>
        <w:jc w:val="left"/>
      </w:pPr>
    </w:p>
    <w:p w14:paraId="5EF61EA8" w14:textId="77777777" w:rsidR="001B358E" w:rsidRDefault="001B358E">
      <w:pPr>
        <w:spacing w:before="0" w:after="0" w:line="240" w:lineRule="auto"/>
        <w:jc w:val="left"/>
      </w:pPr>
      <w:r>
        <w:br w:type="page"/>
      </w:r>
    </w:p>
    <w:p w14:paraId="07B4778F" w14:textId="77777777" w:rsidR="00FB6965" w:rsidRDefault="00FB6965">
      <w:pPr>
        <w:spacing w:before="0" w:after="0" w:line="240" w:lineRule="auto"/>
        <w:jc w:val="left"/>
      </w:pPr>
    </w:p>
    <w:p w14:paraId="17AE014E" w14:textId="77777777" w:rsidR="00CB5B75" w:rsidRDefault="00CB5B75">
      <w:pPr>
        <w:spacing w:before="0" w:after="0" w:line="240" w:lineRule="auto"/>
        <w:jc w:val="left"/>
        <w:sectPr w:rsidR="00CB5B75" w:rsidSect="002956C7">
          <w:pgSz w:w="11906" w:h="16838"/>
          <w:pgMar w:top="1440" w:right="1797" w:bottom="1440" w:left="1797" w:header="720" w:footer="720" w:gutter="0"/>
          <w:cols w:space="720"/>
          <w:docGrid w:linePitch="326"/>
        </w:sectPr>
      </w:pPr>
    </w:p>
    <w:p w14:paraId="44099D97" w14:textId="308D7C72" w:rsidR="007C38E6" w:rsidRDefault="007C38E6" w:rsidP="000024FA">
      <w:pPr>
        <w:pStyle w:val="Heading1"/>
      </w:pPr>
      <w:bookmarkStart w:id="51" w:name="_Toc184311747"/>
      <w:bookmarkStart w:id="52" w:name="_Toc206083787"/>
      <w:r>
        <w:lastRenderedPageBreak/>
        <w:t>Qualitative Analysis</w:t>
      </w:r>
      <w:bookmarkEnd w:id="51"/>
      <w:bookmarkEnd w:id="52"/>
    </w:p>
    <w:p w14:paraId="5B461992" w14:textId="647D7299" w:rsidR="008853C2" w:rsidRPr="00F813FF" w:rsidRDefault="00D82C3D" w:rsidP="008853C2">
      <w:r w:rsidRPr="00F813FF">
        <w:t>This chapter analyses qualitative data from the lens of established international relations theory. Specifically, that of Fouilleux (2004), Bach (2010), Boswell (2008) and Rivera (2024) which posits that international standard setting bodies access legitimacy and authority through procedural rules, adherence to democratic norms and access to technical expertise. S</w:t>
      </w:r>
      <w:r w:rsidR="00661252" w:rsidRPr="00F813FF">
        <w:t xml:space="preserve">even </w:t>
      </w:r>
      <w:r w:rsidR="008853C2" w:rsidRPr="00F813FF">
        <w:t>key informants</w:t>
      </w:r>
      <w:r w:rsidRPr="00F813FF">
        <w:t xml:space="preserve"> were interviewed</w:t>
      </w:r>
      <w:r w:rsidR="008853C2" w:rsidRPr="00F813FF">
        <w:t xml:space="preserve">. This comprised of employees and former employees of public service institutions and industry. </w:t>
      </w:r>
      <w:r w:rsidR="002F0888" w:rsidRPr="00F813FF">
        <w:t xml:space="preserve">Three </w:t>
      </w:r>
      <w:r w:rsidR="008853C2" w:rsidRPr="00F813FF">
        <w:t xml:space="preserve">participants </w:t>
      </w:r>
      <w:r w:rsidR="002F0888" w:rsidRPr="00F813FF">
        <w:t xml:space="preserve">from the department </w:t>
      </w:r>
      <w:r w:rsidR="008853C2" w:rsidRPr="00F813FF">
        <w:t xml:space="preserve">were interviewed. One participant from the Australian Centre for Disease Preparedness (ACPD) was interviewed. </w:t>
      </w:r>
      <w:r w:rsidR="00562660" w:rsidRPr="00F813FF">
        <w:t>I</w:t>
      </w:r>
      <w:r w:rsidR="008853C2" w:rsidRPr="00F813FF">
        <w:t xml:space="preserve">ndustry employees and former employees of the </w:t>
      </w:r>
      <w:r w:rsidR="001B07F5" w:rsidRPr="00F813FF">
        <w:rPr>
          <w:color w:val="000000"/>
        </w:rPr>
        <w:t>World Renderers Organization (</w:t>
      </w:r>
      <w:r w:rsidR="008853C2" w:rsidRPr="00F813FF">
        <w:t>WRO</w:t>
      </w:r>
      <w:r w:rsidR="001B07F5" w:rsidRPr="00F813FF">
        <w:t xml:space="preserve">; </w:t>
      </w:r>
      <w:r w:rsidR="008853C2" w:rsidRPr="00F813FF">
        <w:t xml:space="preserve">one participant), the ARA (one participant) and the Australian Meat Industry Council </w:t>
      </w:r>
      <w:r w:rsidR="00AC1476" w:rsidRPr="00F813FF">
        <w:t>(AMIC</w:t>
      </w:r>
      <w:r w:rsidR="00D63117" w:rsidRPr="00F813FF">
        <w:t xml:space="preserve">; </w:t>
      </w:r>
      <w:r w:rsidR="008853C2" w:rsidRPr="00F813FF">
        <w:t xml:space="preserve">one participant) were </w:t>
      </w:r>
      <w:r w:rsidR="00562660" w:rsidRPr="00F813FF">
        <w:t xml:space="preserve">also </w:t>
      </w:r>
      <w:r w:rsidR="008853C2" w:rsidRPr="00F813FF">
        <w:t xml:space="preserve">interviewed. </w:t>
      </w:r>
    </w:p>
    <w:p w14:paraId="2B4FED67" w14:textId="1C4D2C10" w:rsidR="008853C2" w:rsidRDefault="008853C2" w:rsidP="008853C2">
      <w:r w:rsidRPr="00F813FF">
        <w:t xml:space="preserve">From these interviews it emerged that the Office of the Chief Veterinary Officer (OCVO) was responding to a situation whereby Australia would be adversely impacted by decisions of the WOAH </w:t>
      </w:r>
      <w:r w:rsidRPr="00F813FF">
        <w:rPr>
          <w:i/>
        </w:rPr>
        <w:t>ad hoc</w:t>
      </w:r>
      <w:r w:rsidRPr="00F813FF">
        <w:t xml:space="preserve"> working group and that Australia was not in a favourable position with regard to its established alliances and voting blocs. Instead, Australia responded by forming international alliances, collaborating with industry to challenge the scientific basis of the proposed revision of the standard. It </w:t>
      </w:r>
      <w:r w:rsidR="00F92D39" w:rsidRPr="00F813FF">
        <w:t xml:space="preserve">advocated for </w:t>
      </w:r>
      <w:r w:rsidR="009728CE" w:rsidRPr="00F813FF">
        <w:t>transparen</w:t>
      </w:r>
      <w:r w:rsidR="00F92D39" w:rsidRPr="00F813FF">
        <w:t>t</w:t>
      </w:r>
      <w:r w:rsidR="009728CE" w:rsidRPr="00F813FF">
        <w:t xml:space="preserve"> </w:t>
      </w:r>
      <w:r w:rsidRPr="00F813FF">
        <w:t>process</w:t>
      </w:r>
      <w:r w:rsidR="00F92D39" w:rsidRPr="00F813FF">
        <w:t>es</w:t>
      </w:r>
      <w:r>
        <w:t xml:space="preserve"> within WOAH </w:t>
      </w:r>
      <w:r w:rsidR="009728CE">
        <w:t>on</w:t>
      </w:r>
      <w:r>
        <w:t xml:space="preserve"> </w:t>
      </w:r>
      <w:r w:rsidR="009728CE">
        <w:t xml:space="preserve">BSE standards and status assessments, </w:t>
      </w:r>
      <w:r>
        <w:t xml:space="preserve">and leveraged the </w:t>
      </w:r>
      <w:r w:rsidR="00E44CC8">
        <w:t xml:space="preserve">authority </w:t>
      </w:r>
      <w:r>
        <w:t>of the WOAH</w:t>
      </w:r>
      <w:r w:rsidR="00A4434C">
        <w:t xml:space="preserve"> </w:t>
      </w:r>
      <w:r w:rsidR="00562A43">
        <w:t xml:space="preserve">Delegate </w:t>
      </w:r>
      <w:r w:rsidR="00F60A97">
        <w:t xml:space="preserve">to raise concerns about </w:t>
      </w:r>
      <w:r w:rsidR="009728CE">
        <w:t xml:space="preserve">the </w:t>
      </w:r>
      <w:r w:rsidR="004A14AF">
        <w:t>problematic</w:t>
      </w:r>
      <w:r w:rsidR="00301F4B">
        <w:t xml:space="preserve"> BSE </w:t>
      </w:r>
      <w:r w:rsidR="00656779">
        <w:t>standards</w:t>
      </w:r>
      <w:r>
        <w:t>. This ultimately led to the withdrawal of the proposal to change the BSE standard in 2022</w:t>
      </w:r>
      <w:r w:rsidR="00301F4B">
        <w:t xml:space="preserve"> until </w:t>
      </w:r>
      <w:r w:rsidR="001E03A6">
        <w:t>revised</w:t>
      </w:r>
      <w:r w:rsidR="00301F4B">
        <w:t xml:space="preserve"> </w:t>
      </w:r>
      <w:r w:rsidR="00002DDD">
        <w:t>standards were proposed in 2023</w:t>
      </w:r>
      <w:r>
        <w:t xml:space="preserve">. </w:t>
      </w:r>
    </w:p>
    <w:p w14:paraId="3CAA5876" w14:textId="34D6189D" w:rsidR="008C7031" w:rsidRDefault="00397A4B" w:rsidP="008C7031">
      <w:pPr>
        <w:pStyle w:val="Heading2"/>
      </w:pPr>
      <w:bookmarkStart w:id="53" w:name="_Toc184311748"/>
      <w:bookmarkStart w:id="54" w:name="_Toc206083788"/>
      <w:r>
        <w:t>Issue emergence</w:t>
      </w:r>
      <w:r w:rsidR="009C4395">
        <w:t xml:space="preserve">: </w:t>
      </w:r>
      <w:r w:rsidR="007E2863">
        <w:t>T</w:t>
      </w:r>
      <w:r w:rsidR="009C4395">
        <w:t>rade opportunities and atypical BSE</w:t>
      </w:r>
      <w:bookmarkEnd w:id="53"/>
      <w:bookmarkEnd w:id="54"/>
    </w:p>
    <w:p w14:paraId="1D51FE50" w14:textId="69B72486" w:rsidR="0045082A" w:rsidRDefault="0045082A" w:rsidP="0045082A">
      <w:r>
        <w:t xml:space="preserve">While Australia has maintained a negligible risk status for BSE, other countries have faced onerous production requirements and limited access to premium markets (industry representative, interview, 2024). BSE risk status has been a key determinant of trade opportunities (industry representative, interview, 2024). Due to its negligible risk status, </w:t>
      </w:r>
      <w:r w:rsidRPr="006F25C8">
        <w:t>Australia was able to respond to emerging opportunities in the Chinese market</w:t>
      </w:r>
      <w:r>
        <w:t xml:space="preserve"> </w:t>
      </w:r>
      <w:r w:rsidRPr="007B7F3E">
        <w:t xml:space="preserve">(Edwards et al. 2016). </w:t>
      </w:r>
      <w:r w:rsidR="00DD0150">
        <w:t>European nations</w:t>
      </w:r>
      <w:r w:rsidR="00742D9C">
        <w:t>—</w:t>
      </w:r>
      <w:r w:rsidR="00AE511F">
        <w:t xml:space="preserve">many of which </w:t>
      </w:r>
      <w:r w:rsidR="00742D9C">
        <w:t>experienced cases of BSE—</w:t>
      </w:r>
      <w:r w:rsidR="00DD0150">
        <w:t xml:space="preserve">had more stringent standards of production compared to countries with a negligible BSE status. Some of these countries thought the added regulatory burden was unfair (DAFF employee, interview, 2023). </w:t>
      </w:r>
      <w:r>
        <w:t xml:space="preserve">It was this context that Australia’s BSE status was reviewed from 2018 onward. </w:t>
      </w:r>
    </w:p>
    <w:p w14:paraId="6D9604C6" w14:textId="41A7D276" w:rsidR="0045082A" w:rsidRPr="00397A4B" w:rsidRDefault="0045082A" w:rsidP="0045082A">
      <w:r>
        <w:t>When atypical BSE emerged as an issue for consideration, the strength of existing</w:t>
      </w:r>
      <w:r w:rsidR="004F5A70">
        <w:t>, favourable</w:t>
      </w:r>
      <w:r>
        <w:t xml:space="preserve"> statuses for classical BSE were diminished. It was feared that atypical BSE was a silent infection that </w:t>
      </w:r>
      <w:r w:rsidR="00854713">
        <w:t xml:space="preserve">would have a very low chance of being picked up </w:t>
      </w:r>
      <w:r>
        <w:t xml:space="preserve">through active or passive surveillance </w:t>
      </w:r>
      <w:r w:rsidR="00AB295A">
        <w:t xml:space="preserve">owing to very low incidence rate </w:t>
      </w:r>
      <w:r>
        <w:t xml:space="preserve">(industry participant, interview, 2024). Concern over the risks associated with atypical BSE became a leverage point for other countries. </w:t>
      </w:r>
      <w:r w:rsidR="00CD5EFA">
        <w:t>Hence, w</w:t>
      </w:r>
      <w:r>
        <w:t>hile Australia’s somewhat unique status as BSE negligible b</w:t>
      </w:r>
      <w:r w:rsidR="00902C44">
        <w:t>r</w:t>
      </w:r>
      <w:r>
        <w:t xml:space="preserve">ought with it trade and production advantages, it drew criticism from large blocs of OECD nations.  </w:t>
      </w:r>
    </w:p>
    <w:p w14:paraId="6306708D" w14:textId="57E107EE" w:rsidR="007C38E6" w:rsidRPr="00B76E09" w:rsidRDefault="00CA5CAF" w:rsidP="00100F9E">
      <w:pPr>
        <w:pStyle w:val="Heading2"/>
      </w:pPr>
      <w:bookmarkStart w:id="55" w:name="_Toc206083789"/>
      <w:r>
        <w:lastRenderedPageBreak/>
        <w:t>The</w:t>
      </w:r>
      <w:r w:rsidR="000A75FA">
        <w:t xml:space="preserve"> </w:t>
      </w:r>
      <w:r w:rsidR="00B15287">
        <w:t>A</w:t>
      </w:r>
      <w:r w:rsidR="000A75FA">
        <w:t xml:space="preserve">nimal </w:t>
      </w:r>
      <w:r w:rsidR="00B15287">
        <w:t>H</w:t>
      </w:r>
      <w:r w:rsidR="000A75FA">
        <w:t xml:space="preserve">ealth </w:t>
      </w:r>
      <w:r w:rsidR="00B15287">
        <w:t>Q</w:t>
      </w:r>
      <w:r w:rsidR="000A75FA">
        <w:t>uadrilateral (</w:t>
      </w:r>
      <w:r w:rsidR="00B15287">
        <w:t>Q</w:t>
      </w:r>
      <w:r w:rsidR="000A75FA">
        <w:t xml:space="preserve">uads) </w:t>
      </w:r>
      <w:r w:rsidR="00B15287">
        <w:t>A</w:t>
      </w:r>
      <w:r w:rsidR="000A75FA">
        <w:t>lliance:</w:t>
      </w:r>
      <w:r>
        <w:t xml:space="preserve"> </w:t>
      </w:r>
      <w:r w:rsidR="000A75FA">
        <w:t>A</w:t>
      </w:r>
      <w:r w:rsidR="00B76E09">
        <w:t>ccessing and distributing scientific information</w:t>
      </w:r>
      <w:bookmarkEnd w:id="55"/>
    </w:p>
    <w:p w14:paraId="1A2ECC54" w14:textId="726C8A51" w:rsidR="00773D75" w:rsidRPr="003C5FA8" w:rsidRDefault="00773D75" w:rsidP="00773D75">
      <w:r>
        <w:t xml:space="preserve">The European Union (EU) was in favour to a change to </w:t>
      </w:r>
      <w:r w:rsidRPr="00CD0105">
        <w:rPr>
          <w:rFonts w:eastAsia="Calibri"/>
          <w:i/>
        </w:rPr>
        <w:t xml:space="preserve">Chapters 1.8 </w:t>
      </w:r>
      <w:r w:rsidRPr="00CD0105">
        <w:rPr>
          <w:rFonts w:eastAsia="Calibri"/>
        </w:rPr>
        <w:t xml:space="preserve">and </w:t>
      </w:r>
      <w:r w:rsidRPr="00CD0105">
        <w:rPr>
          <w:rFonts w:eastAsia="Calibri"/>
          <w:i/>
        </w:rPr>
        <w:t xml:space="preserve">11.4 </w:t>
      </w:r>
      <w:r w:rsidRPr="00CD0105">
        <w:rPr>
          <w:rFonts w:eastAsia="Calibri"/>
        </w:rPr>
        <w:t xml:space="preserve">of </w:t>
      </w:r>
      <w:r>
        <w:rPr>
          <w:rFonts w:eastAsia="Calibri"/>
        </w:rPr>
        <w:t>WOAH’s</w:t>
      </w:r>
      <w:r w:rsidRPr="00CD0105">
        <w:rPr>
          <w:rFonts w:eastAsia="Calibri"/>
        </w:rPr>
        <w:t xml:space="preserve"> Terrestrial Code</w:t>
      </w:r>
      <w:r>
        <w:rPr>
          <w:rFonts w:eastAsia="Calibri"/>
        </w:rPr>
        <w:t xml:space="preserve"> (‘the standard’) and for it to be pushed through in the original </w:t>
      </w:r>
      <w:r w:rsidR="00555F4E">
        <w:rPr>
          <w:rFonts w:eastAsia="Calibri"/>
        </w:rPr>
        <w:t xml:space="preserve">revised </w:t>
      </w:r>
      <w:r>
        <w:rPr>
          <w:rFonts w:eastAsia="Calibri"/>
        </w:rPr>
        <w:t xml:space="preserve">form it took in 2018 (DAFF employee, interview with industry representative, 2024). The EU has 26-member countries, creating a powerful voting bloc. The EU countries are often aligned in </w:t>
      </w:r>
      <w:r w:rsidR="00666789">
        <w:rPr>
          <w:rFonts w:eastAsia="Calibri"/>
        </w:rPr>
        <w:t xml:space="preserve">their </w:t>
      </w:r>
      <w:r>
        <w:rPr>
          <w:rFonts w:eastAsia="Calibri"/>
        </w:rPr>
        <w:t>voting</w:t>
      </w:r>
      <w:r w:rsidR="00666789">
        <w:rPr>
          <w:rFonts w:eastAsia="Calibri"/>
        </w:rPr>
        <w:t xml:space="preserve"> together</w:t>
      </w:r>
      <w:r>
        <w:rPr>
          <w:rFonts w:eastAsia="Calibri"/>
        </w:rPr>
        <w:t xml:space="preserve"> with another significant voting bloc,</w:t>
      </w:r>
      <w:r>
        <w:t xml:space="preserve"> </w:t>
      </w:r>
      <w:r>
        <w:rPr>
          <w:rFonts w:eastAsia="Calibri"/>
        </w:rPr>
        <w:t xml:space="preserve">Africa </w:t>
      </w:r>
      <w:r>
        <w:t>(</w:t>
      </w:r>
      <w:r>
        <w:rPr>
          <w:rFonts w:eastAsia="Calibri"/>
        </w:rPr>
        <w:t>DAFF employee, interview,</w:t>
      </w:r>
      <w:r>
        <w:t xml:space="preserve"> 2023). A DAFF employee observed that once the EU adopted </w:t>
      </w:r>
      <w:r w:rsidR="00590309">
        <w:t>regulations,</w:t>
      </w:r>
      <w:r>
        <w:t xml:space="preserve"> they expected the rest of the world to follow. As one industry representative observed, the CVO “could have screamed until his face turned blue. But if you've got 47 other countries voting </w:t>
      </w:r>
      <w:bookmarkStart w:id="56" w:name="_Hlk203378171"/>
      <w:r w:rsidR="004D31FC">
        <w:t>[ for the proposed change</w:t>
      </w:r>
      <w:bookmarkEnd w:id="56"/>
      <w:r w:rsidR="004D31FC">
        <w:t>],</w:t>
      </w:r>
      <w:r>
        <w:t>then there's very limited things that you can do in that context”.</w:t>
      </w:r>
      <w:r w:rsidR="009A0226">
        <w:t xml:space="preserve"> Accessing and distributing scientific data was a key mechanism for influencing WOAH, as this was </w:t>
      </w:r>
      <w:r w:rsidR="009A0226" w:rsidRPr="003C5FA8">
        <w:t xml:space="preserve">the key basis for decision making. </w:t>
      </w:r>
    </w:p>
    <w:p w14:paraId="7F57A461" w14:textId="4415BE02" w:rsidR="00DF222C" w:rsidRPr="00F813FF" w:rsidRDefault="00DF222C" w:rsidP="00773D75">
      <w:r w:rsidRPr="003C5FA8">
        <w:t>Animal Health Quadrilateral (“Quads”) Alliance was established to strengthen collaboration and influence</w:t>
      </w:r>
      <w:r>
        <w:t xml:space="preserve"> within WOAH, including in response to the increasing coordination among other country blocs (Kompas and Spring 201</w:t>
      </w:r>
      <w:r w:rsidRPr="00194193">
        <w:t xml:space="preserve">6). </w:t>
      </w:r>
      <w:r>
        <w:t>The Quads Alliance</w:t>
      </w:r>
      <w:r w:rsidR="00773D75" w:rsidRPr="0045011E">
        <w:t xml:space="preserve"> comprises </w:t>
      </w:r>
      <w:r w:rsidR="00773D75">
        <w:t>of</w:t>
      </w:r>
      <w:r w:rsidR="00773D75" w:rsidRPr="0045011E">
        <w:t xml:space="preserve"> Australia, Canada, New Zealand</w:t>
      </w:r>
      <w:r w:rsidR="00773D75">
        <w:t xml:space="preserve">, </w:t>
      </w:r>
      <w:r w:rsidR="00773D75" w:rsidRPr="0045011E">
        <w:t>and the United States</w:t>
      </w:r>
      <w:r w:rsidR="00773D75">
        <w:t xml:space="preserve"> and, from </w:t>
      </w:r>
      <w:r w:rsidR="00773D75" w:rsidRPr="00F813FF">
        <w:t>2021, the United Kingdom.</w:t>
      </w:r>
      <w:r w:rsidRPr="00F813FF">
        <w:t xml:space="preserve"> While some sources describe its formation as a counterbalance</w:t>
      </w:r>
      <w:r w:rsidR="00B76E09" w:rsidRPr="00F813FF">
        <w:t xml:space="preserve"> (Kompas and Spring 2016)</w:t>
      </w:r>
      <w:r w:rsidRPr="00F813FF">
        <w:t xml:space="preserve">, in practice Quads </w:t>
      </w:r>
      <w:r w:rsidR="008E2AC3" w:rsidRPr="00F813FF">
        <w:t>generally</w:t>
      </w:r>
      <w:r w:rsidRPr="00F813FF">
        <w:t xml:space="preserve"> works in alignment with other blocs, such as the EU. </w:t>
      </w:r>
    </w:p>
    <w:p w14:paraId="1061726F" w14:textId="66E88E60" w:rsidR="00773D75" w:rsidRDefault="00773D75" w:rsidP="00773D75">
      <w:r w:rsidRPr="00F813FF">
        <w:t xml:space="preserve">The Quads </w:t>
      </w:r>
      <w:r w:rsidR="008E2AC3" w:rsidRPr="00F813FF">
        <w:t xml:space="preserve">Alliance </w:t>
      </w:r>
      <w:r w:rsidRPr="00F813FF">
        <w:t>is respected for its provision of scientific expertise (DAFF employee, interview, 2023). A DAFF employee stated that even though “we’re only five countries, … that partnership’s helpful</w:t>
      </w:r>
      <w:r>
        <w:t xml:space="preserve"> </w:t>
      </w:r>
      <w:r w:rsidRPr="008D1C55">
        <w:t xml:space="preserve">because </w:t>
      </w:r>
      <w:r>
        <w:t>across five countries, we’re able to access several regions.</w:t>
      </w:r>
      <w:r w:rsidRPr="00B96EB1">
        <w:t xml:space="preserve"> </w:t>
      </w:r>
      <w:r>
        <w:t xml:space="preserve">So Australia, New Zealand, the Asia Pacific region, the UK for the European region and also US and Canada for the Americas”. As such the Quads </w:t>
      </w:r>
      <w:r w:rsidR="005A3793">
        <w:t xml:space="preserve">Alliance </w:t>
      </w:r>
      <w:r>
        <w:t xml:space="preserve">provides an opportunity to </w:t>
      </w:r>
      <w:r w:rsidR="005A3793">
        <w:t xml:space="preserve">advocate for the scientific and </w:t>
      </w:r>
      <w:r>
        <w:t xml:space="preserve">voting </w:t>
      </w:r>
      <w:r w:rsidR="005A3793">
        <w:t xml:space="preserve">positions </w:t>
      </w:r>
      <w:r>
        <w:t xml:space="preserve">in key regions. On the other hand, another DAFF employee believed that the Quads </w:t>
      </w:r>
      <w:r w:rsidR="00DF222C">
        <w:t xml:space="preserve">Alliance </w:t>
      </w:r>
      <w:r>
        <w:t xml:space="preserve">did not have a great deal of influence in the case of BSE standard revision, due to it being a small group with limited votes. Only New Zealand and Australia </w:t>
      </w:r>
      <w:r w:rsidR="00EC654D">
        <w:t xml:space="preserve">would be </w:t>
      </w:r>
      <w:r>
        <w:t>impacted by the proposed changes to the BSE standards, as the other countries already had quite conservative BSE processes, with high levels of regulatory oversight (DAFF employee, interview, 2023).</w:t>
      </w:r>
    </w:p>
    <w:p w14:paraId="056FBD7B" w14:textId="664B3B3D" w:rsidR="00773D75" w:rsidRDefault="00773D75" w:rsidP="00773D75">
      <w:r>
        <w:t xml:space="preserve">Australia relied on its relationship with New Zealand, one of the few other countries to be affected by the possible change to its </w:t>
      </w:r>
      <w:r w:rsidRPr="00847CA1">
        <w:rPr>
          <w:iCs/>
          <w:color w:val="000000" w:themeColor="text1"/>
        </w:rPr>
        <w:t xml:space="preserve">existing negligible risk </w:t>
      </w:r>
      <w:r w:rsidR="00EC654D">
        <w:rPr>
          <w:iCs/>
          <w:color w:val="000000" w:themeColor="text1"/>
        </w:rPr>
        <w:t xml:space="preserve">status </w:t>
      </w:r>
      <w:r w:rsidRPr="00847CA1">
        <w:rPr>
          <w:iCs/>
          <w:color w:val="000000" w:themeColor="text1"/>
        </w:rPr>
        <w:t>under the new standard</w:t>
      </w:r>
      <w:r>
        <w:rPr>
          <w:iCs/>
          <w:color w:val="000000" w:themeColor="text1"/>
        </w:rPr>
        <w:t xml:space="preserve">. A DAFF employee (interview, 2023) </w:t>
      </w:r>
      <w:r>
        <w:t>said “the first alarm bell was New Zealand getting in touch and saying, ‘if you read the most recent draft of this standard, we think it’s really problematic and that's when we had a closer look’</w:t>
      </w:r>
      <w:r w:rsidR="00B76E09">
        <w:t>.</w:t>
      </w:r>
      <w:r>
        <w:t xml:space="preserve"> This information allowed Australia to move more quickly than it would have otherwise been able to do. New Zealand was aligned with Australia to reject proposals to changes to the BSE </w:t>
      </w:r>
      <w:r>
        <w:lastRenderedPageBreak/>
        <w:t>standard and to share dossiers and other information with each other (DAFF employee, interview 2023).</w:t>
      </w:r>
    </w:p>
    <w:p w14:paraId="370E1E05" w14:textId="28599D7A" w:rsidR="00D25E7A" w:rsidRPr="00747CC1" w:rsidRDefault="00B76E09" w:rsidP="00D25E7A">
      <w:r>
        <w:t xml:space="preserve">A </w:t>
      </w:r>
      <w:r w:rsidR="00D25E7A">
        <w:t xml:space="preserve">representative of industry (interview, 2024) </w:t>
      </w:r>
      <w:r w:rsidR="008A4D89">
        <w:t xml:space="preserve">was disappointed in the progress of the BSE standards </w:t>
      </w:r>
      <w:r w:rsidR="00D25E7A">
        <w:t xml:space="preserve">without DAFF being able to address the issue. This representative added that “You're almost having to foresight at what it's going to be like in the next 2 to 3 years, and how those standards are going to evolve. So one word change now might have significant implications for what happens 3 years down the track. So it's very hard, I think, to be able to foresight that”. In addition to strategic alliances with New Zealand and other members of the Quads </w:t>
      </w:r>
      <w:r w:rsidR="00FC3AE7">
        <w:t>Alliance</w:t>
      </w:r>
      <w:r w:rsidR="00D25E7A">
        <w:t xml:space="preserve">, collaboration with industry also strengthened Australia’s capacity to respond to the threat of a change to the BSE standard. </w:t>
      </w:r>
    </w:p>
    <w:p w14:paraId="1B06A0E5" w14:textId="09FC4BE3" w:rsidR="00E15870" w:rsidRPr="00E15870" w:rsidRDefault="00FA72FE" w:rsidP="0043128B">
      <w:pPr>
        <w:pStyle w:val="Heading2"/>
        <w:numPr>
          <w:ilvl w:val="0"/>
          <w:numId w:val="0"/>
        </w:numPr>
        <w:ind w:left="284"/>
      </w:pPr>
      <w:bookmarkStart w:id="57" w:name="_Toc184311750"/>
      <w:bookmarkStart w:id="58" w:name="_Toc206083790"/>
      <w:r>
        <w:t>4.3</w:t>
      </w:r>
      <w:r w:rsidR="002E4860">
        <w:tab/>
      </w:r>
      <w:r w:rsidR="004134FA">
        <w:t xml:space="preserve">Australia’s response: </w:t>
      </w:r>
      <w:bookmarkEnd w:id="57"/>
      <w:r w:rsidR="00DE2193">
        <w:t xml:space="preserve">OCVO engagement with industry </w:t>
      </w:r>
      <w:r w:rsidR="0002268B">
        <w:t>in the advocacy of scientific evidence</w:t>
      </w:r>
      <w:bookmarkEnd w:id="58"/>
    </w:p>
    <w:p w14:paraId="425DB26E" w14:textId="76B07F1C" w:rsidR="007F159C" w:rsidRDefault="00924B90" w:rsidP="007F159C">
      <w:pPr>
        <w:rPr>
          <w:rStyle w:val="Advisorytext"/>
          <w:color w:val="auto"/>
        </w:rPr>
      </w:pPr>
      <w:r w:rsidRPr="00F813FF">
        <w:rPr>
          <w:rStyle w:val="Advisorytext"/>
          <w:color w:val="auto"/>
        </w:rPr>
        <w:t xml:space="preserve">Australia has a strong history of collaborating with industry on issues of shared importance, such as biosecurity. </w:t>
      </w:r>
      <w:r w:rsidR="007F159C" w:rsidRPr="00F813FF">
        <w:t>The</w:t>
      </w:r>
      <w:r w:rsidR="007F159C">
        <w:t xml:space="preserve"> OCVO</w:t>
      </w:r>
      <w:r w:rsidR="007F159C">
        <w:rPr>
          <w:rStyle w:val="Advisorytext"/>
          <w:color w:val="auto"/>
        </w:rPr>
        <w:t xml:space="preserve"> collaborated widely to develop a response to the threat of a change to the BSE standard. </w:t>
      </w:r>
      <w:r w:rsidR="009A0226">
        <w:rPr>
          <w:rStyle w:val="Advisorytext"/>
          <w:color w:val="auto"/>
        </w:rPr>
        <w:t xml:space="preserve">The OCVO </w:t>
      </w:r>
      <w:r w:rsidR="009A0226" w:rsidRPr="00D16F7F">
        <w:rPr>
          <w:rStyle w:val="Advisorytext"/>
          <w:color w:val="auto"/>
        </w:rPr>
        <w:fldChar w:fldCharType="begin"/>
      </w:r>
      <w:r w:rsidR="009A0226">
        <w:rPr>
          <w:rStyle w:val="Advisorytext"/>
          <w:color w:val="auto"/>
        </w:rPr>
        <w:instrText xml:space="preserve"> ADDIN EN.CITE &lt;EndNote&gt;&lt;Cite ExcludeAuth="1"&gt;&lt;Author&gt;OCVO&lt;/Author&gt;&lt;Year&gt;ND&lt;/Year&gt;&lt;RecNum&gt;4296&lt;/RecNum&gt;&lt;Suffix&gt; p. 3&lt;/Suffix&gt;&lt;DisplayText&gt;(ND p. 3)&lt;/DisplayText&gt;&lt;record&gt;&lt;rec-number&gt;4296&lt;/rec-number&gt;&lt;foreign-keys&gt;&lt;key app="EN" db-id="avt25d0dcvzvsyea29tv5fs8d9vx5xa0fa00" timestamp="1724030463"&gt;4296&lt;/key&gt;&lt;/foreign-keys&gt;&lt;ref-type name="Report"&gt;27&lt;/ref-type&gt;&lt;contributors&gt;&lt;authors&gt;&lt;author&gt;OCVO&lt;/author&gt;&lt;/authors&gt;&lt;/contributors&gt;&lt;titles&gt;&lt;title&gt;BSE Data Brief&lt;/title&gt;&lt;/titles&gt;&lt;dates&gt;&lt;year&gt;ND&lt;/year&gt;&lt;/dates&gt;&lt;pub-location&gt;Canberra&lt;/pub-location&gt;&lt;publisher&gt;Department of Agriculture, Fisheries and Forestry&lt;/publisher&gt;&lt;urls&gt;&lt;/urls&gt;&lt;/record&gt;&lt;/Cite&gt;&lt;/EndNote&gt;</w:instrText>
      </w:r>
      <w:r w:rsidR="009A0226" w:rsidRPr="00D16F7F">
        <w:rPr>
          <w:rStyle w:val="Advisorytext"/>
          <w:color w:val="auto"/>
        </w:rPr>
        <w:fldChar w:fldCharType="separate"/>
      </w:r>
      <w:r w:rsidR="009A0226">
        <w:rPr>
          <w:rStyle w:val="Advisorytext"/>
          <w:noProof/>
          <w:color w:val="auto"/>
        </w:rPr>
        <w:t>(</w:t>
      </w:r>
      <w:r w:rsidR="008A4D89">
        <w:rPr>
          <w:rStyle w:val="Advisorytext"/>
          <w:noProof/>
          <w:color w:val="auto"/>
        </w:rPr>
        <w:t>n.d.</w:t>
      </w:r>
      <w:r w:rsidR="009A0226">
        <w:rPr>
          <w:rStyle w:val="Advisorytext"/>
          <w:noProof/>
          <w:color w:val="auto"/>
        </w:rPr>
        <w:t xml:space="preserve"> p. 3)</w:t>
      </w:r>
      <w:r w:rsidR="009A0226" w:rsidRPr="00D16F7F">
        <w:rPr>
          <w:rStyle w:val="Advisorytext"/>
          <w:color w:val="auto"/>
        </w:rPr>
        <w:fldChar w:fldCharType="end"/>
      </w:r>
      <w:r w:rsidR="009A0226">
        <w:rPr>
          <w:rStyle w:val="Advisorytext"/>
          <w:color w:val="auto"/>
        </w:rPr>
        <w:t xml:space="preserve"> </w:t>
      </w:r>
      <w:r w:rsidR="007F159C">
        <w:rPr>
          <w:rStyle w:val="Advisorytext"/>
          <w:color w:val="auto"/>
        </w:rPr>
        <w:t>stated that “t</w:t>
      </w:r>
      <w:r w:rsidR="007F159C" w:rsidRPr="00D16F7F">
        <w:rPr>
          <w:rStyle w:val="Advisorytext"/>
          <w:color w:val="auto"/>
        </w:rPr>
        <w:t>o develop all technical submissions to WOAH, OCVO consulted with a wide range of stakeholders, including jurisdictional governments, FSANZ</w:t>
      </w:r>
      <w:r w:rsidR="007F159C">
        <w:rPr>
          <w:rStyle w:val="Advisorytext"/>
          <w:color w:val="auto"/>
        </w:rPr>
        <w:t xml:space="preserve"> (Food Standards Australia and New Zealand)</w:t>
      </w:r>
      <w:r w:rsidR="007F159C" w:rsidRPr="00D16F7F">
        <w:rPr>
          <w:rStyle w:val="Advisorytext"/>
          <w:color w:val="auto"/>
        </w:rPr>
        <w:t>, Animal Health Australia (AHA), relevant industry representatives and extensively within the department, including on trade with Exports and Veterinary Services Division and Biosecurity Animal Division</w:t>
      </w:r>
      <w:r w:rsidR="007F159C">
        <w:rPr>
          <w:rStyle w:val="Advisorytext"/>
          <w:color w:val="auto"/>
        </w:rPr>
        <w:t xml:space="preserve">”. </w:t>
      </w:r>
    </w:p>
    <w:p w14:paraId="1F92EBCC" w14:textId="0C72F8C5" w:rsidR="007F159C" w:rsidRDefault="007F159C" w:rsidP="007F159C">
      <w:r>
        <w:t xml:space="preserve">The OCVO coordinated its advocacy with that of the Australian meat and rendering industries. These industries had </w:t>
      </w:r>
      <w:r w:rsidR="00C27125">
        <w:t xml:space="preserve">advocated for </w:t>
      </w:r>
      <w:r>
        <w:t xml:space="preserve">the OCVO to move quickly and respond to their questions about the implications of a change to Australia’s BSE status once </w:t>
      </w:r>
      <w:r w:rsidR="00AF7EA0">
        <w:t xml:space="preserve">the impacts </w:t>
      </w:r>
      <w:r>
        <w:t>became clear (DAFF employee, interview with industry representative, 2024). One industry representative observed (interview, 2024) that Australia’s</w:t>
      </w:r>
      <w:r w:rsidRPr="00504688">
        <w:t xml:space="preserve"> BSE status has “been one of the critical planks </w:t>
      </w:r>
      <w:r>
        <w:t>for</w:t>
      </w:r>
      <w:r w:rsidRPr="00504688">
        <w:t xml:space="preserve"> market access. So anything, whenever we talk about B</w:t>
      </w:r>
      <w:r>
        <w:t>SE</w:t>
      </w:r>
      <w:r w:rsidRPr="00504688">
        <w:t>. It instantly draws the industry's attention to it”.</w:t>
      </w:r>
      <w:r>
        <w:t xml:space="preserve"> An industry representative (interview, 2024) stated that “it was quite a complex and nuanced issue. It really took work to describe it and pick it up”.</w:t>
      </w:r>
      <w:r w:rsidRPr="00FB0B1B">
        <w:t xml:space="preserve"> </w:t>
      </w:r>
      <w:r>
        <w:t xml:space="preserve">They further commented “it would essentially stop the international trade of processed cattle”. This was because it would have created two classes of cattle and it would be impossible to tell what classifications of cattle [were] in the pool of rendered product. </w:t>
      </w:r>
    </w:p>
    <w:p w14:paraId="626CAFAC" w14:textId="0DBBCD51" w:rsidR="007F159C" w:rsidRDefault="008A4D89" w:rsidP="007F159C">
      <w:r>
        <w:t>T</w:t>
      </w:r>
      <w:r w:rsidR="007F159C">
        <w:t>he OCVO consulted with peak bodies such as Meat and Livestock Australia and the ARA (DAFF employee, interview with industry representative, 2024). An industry representative</w:t>
      </w:r>
      <w:r w:rsidR="007F159C" w:rsidRPr="00504688">
        <w:t xml:space="preserve"> said that interaction between the OCVO and industry was important for</w:t>
      </w:r>
      <w:r w:rsidR="007F159C">
        <w:t xml:space="preserve"> bringing to light that this was going to be a “critical conversation” and the</w:t>
      </w:r>
      <w:r w:rsidR="007F159C" w:rsidRPr="00504688">
        <w:t xml:space="preserve"> “complexity with any of these standards changes is to understand what the flow on implications are going to be. Often the standards, you know, might just be a couple of words kind of being tweaked, but then have quite significant flow on implications”. </w:t>
      </w:r>
      <w:r w:rsidR="007F159C">
        <w:t xml:space="preserve">Consultation took place through information dissemination and stakeholder group meetings. An industry </w:t>
      </w:r>
      <w:r w:rsidR="007F159C">
        <w:lastRenderedPageBreak/>
        <w:t>representative (interview, 2024) said that their organisation had significant input into the draft submissions from DAFF. They further commented that:</w:t>
      </w:r>
    </w:p>
    <w:p w14:paraId="7E9C4D05" w14:textId="77777777" w:rsidR="007F159C" w:rsidRDefault="007F159C" w:rsidP="007F159C">
      <w:pPr>
        <w:ind w:left="284" w:right="374"/>
      </w:pPr>
      <w:r>
        <w:t>“Two things</w:t>
      </w:r>
      <w:r w:rsidRPr="00BD7CD7">
        <w:t xml:space="preserve"> gave me great comfort</w:t>
      </w:r>
      <w:r>
        <w:t>. One, that t</w:t>
      </w:r>
      <w:r w:rsidRPr="00BD7CD7">
        <w:t>he issue had been tabled for everyone to see at the meeting, because the chapters in question were all mentioned</w:t>
      </w:r>
      <w:r>
        <w:t xml:space="preserve">, </w:t>
      </w:r>
      <w:r w:rsidRPr="00BD7CD7">
        <w:t>questions were allowed</w:t>
      </w:r>
      <w:r>
        <w:t>.</w:t>
      </w:r>
      <w:r w:rsidRPr="00BD7CD7">
        <w:t xml:space="preserve"> </w:t>
      </w:r>
      <w:r>
        <w:t>And (two, that)</w:t>
      </w:r>
      <w:r w:rsidRPr="00BD7CD7">
        <w:t xml:space="preserve"> there </w:t>
      </w:r>
      <w:r>
        <w:t>[were]</w:t>
      </w:r>
      <w:r w:rsidRPr="00BD7CD7">
        <w:t xml:space="preserve"> clear points of reference of the people</w:t>
      </w:r>
      <w:r>
        <w:t>…</w:t>
      </w:r>
      <w:r w:rsidRPr="00BD7CD7">
        <w:t>who are looking after the subject</w:t>
      </w:r>
      <w:r>
        <w:t>…</w:t>
      </w:r>
      <w:r w:rsidRPr="00BD7CD7">
        <w:t xml:space="preserve"> I thought it </w:t>
      </w:r>
      <w:r>
        <w:t>worked</w:t>
      </w:r>
      <w:r w:rsidRPr="00BD7CD7">
        <w:t xml:space="preserve"> quite well.</w:t>
      </w:r>
      <w:r>
        <w:t>”</w:t>
      </w:r>
    </w:p>
    <w:p w14:paraId="6279B1D1" w14:textId="16858769" w:rsidR="003219C7" w:rsidRDefault="003219C7" w:rsidP="003219C7">
      <w:r>
        <w:t xml:space="preserve">This representative of industry </w:t>
      </w:r>
      <w:r w:rsidRPr="004D245A">
        <w:t>commented that “the relationship with ARA and DAFF was mature, it was ingrained… there was no knowledge vacuum”. As</w:t>
      </w:r>
      <w:r>
        <w:t xml:space="preserve"> OCVO staff had toured rendering plants and attended ARA meetings they had a strong knowledge of the industry and the impacts a change in the standard would have (industry representative, interview, 2024).  </w:t>
      </w:r>
    </w:p>
    <w:p w14:paraId="71A7825A" w14:textId="1667E088" w:rsidR="003219C7" w:rsidRPr="00F813FF" w:rsidRDefault="003219C7" w:rsidP="003219C7">
      <w:r>
        <w:t xml:space="preserve">The OCVO worked with the ARA and other stakeholders to define the issue and present counter arguments to the recommendations to revise the BSE standard. The key argument presented was that the decision to review the standard was not based on sound scientific evidence. The </w:t>
      </w:r>
      <w:bookmarkStart w:id="59" w:name="_Hlk175827372"/>
      <w:r w:rsidRPr="00CD0105">
        <w:rPr>
          <w:rFonts w:eastAsia="Calibri"/>
        </w:rPr>
        <w:t>Terrestrial Animal Health Standards Commission</w:t>
      </w:r>
      <w:r>
        <w:rPr>
          <w:rFonts w:eastAsia="Calibri"/>
        </w:rPr>
        <w:t xml:space="preserve"> </w:t>
      </w:r>
      <w:bookmarkEnd w:id="59"/>
      <w:r w:rsidR="00CD7B4D">
        <w:rPr>
          <w:rFonts w:eastAsia="Calibri"/>
        </w:rPr>
        <w:t xml:space="preserve">had </w:t>
      </w:r>
      <w:r>
        <w:rPr>
          <w:rFonts w:eastAsia="Calibri"/>
        </w:rPr>
        <w:t xml:space="preserve">revised the BSE standard </w:t>
      </w:r>
      <w:r w:rsidRPr="00CD0105">
        <w:rPr>
          <w:rFonts w:eastAsia="Calibri"/>
        </w:rPr>
        <w:t xml:space="preserve">with input from the </w:t>
      </w:r>
      <w:r>
        <w:rPr>
          <w:rFonts w:eastAsia="Calibri"/>
        </w:rPr>
        <w:t>SCAD</w:t>
      </w:r>
      <w:r w:rsidRPr="00CD0105">
        <w:rPr>
          <w:rFonts w:eastAsia="Calibri"/>
        </w:rPr>
        <w:t xml:space="preserve"> and a specially formed </w:t>
      </w:r>
      <w:r w:rsidRPr="00CD0105">
        <w:rPr>
          <w:rFonts w:eastAsia="Calibri"/>
          <w:i/>
          <w:iCs/>
        </w:rPr>
        <w:t>ad hoc</w:t>
      </w:r>
      <w:r w:rsidRPr="00CD0105">
        <w:rPr>
          <w:rFonts w:eastAsia="Calibri"/>
        </w:rPr>
        <w:t xml:space="preserve"> group of BSE experts</w:t>
      </w:r>
      <w:r>
        <w:rPr>
          <w:rFonts w:eastAsia="Calibri"/>
        </w:rPr>
        <w:t>. It was</w:t>
      </w:r>
      <w:r>
        <w:t xml:space="preserve"> informed by </w:t>
      </w:r>
      <w:r w:rsidR="00BC1FE0">
        <w:t>research</w:t>
      </w:r>
      <w:r w:rsidR="00F86E60">
        <w:t xml:space="preserve"> </w:t>
      </w:r>
      <w:r w:rsidR="008A4D89" w:rsidRPr="00F123DA">
        <w:t>(Huor et al., 2019)</w:t>
      </w:r>
      <w:r w:rsidR="008A4D89">
        <w:t xml:space="preserve"> </w:t>
      </w:r>
      <w:r>
        <w:t xml:space="preserve">whose results were </w:t>
      </w:r>
      <w:r w:rsidRPr="00F813FF">
        <w:t>unlikely to be replicated in a real-world setting</w:t>
      </w:r>
      <w:r w:rsidR="00CC7FB1" w:rsidRPr="00F813FF">
        <w:t xml:space="preserve"> </w:t>
      </w:r>
      <w:r w:rsidR="00CC7FB1" w:rsidRPr="00F123DA">
        <w:t>(WOAH</w:t>
      </w:r>
      <w:r w:rsidR="00CC7FB1" w:rsidRPr="00F813FF">
        <w:t xml:space="preserve">, </w:t>
      </w:r>
      <w:r w:rsidR="00CC7FB1" w:rsidRPr="00F123DA">
        <w:t>2021)</w:t>
      </w:r>
      <w:r w:rsidR="00072F0A" w:rsidRPr="00F813FF">
        <w:t xml:space="preserve">. </w:t>
      </w:r>
      <w:r w:rsidR="00903EBF" w:rsidRPr="00F813FF">
        <w:t xml:space="preserve">The OCVO argued </w:t>
      </w:r>
      <w:r w:rsidRPr="00F813FF">
        <w:t>that existing feed bans had been effective in largely eradicating classical BSE</w:t>
      </w:r>
      <w:r w:rsidR="001E03A6" w:rsidRPr="00F813FF">
        <w:t xml:space="preserve"> across the globe</w:t>
      </w:r>
      <w:r w:rsidRPr="00F813FF">
        <w:t>. It was important that atypical BSE be recognised as a random event rather than a progression of</w:t>
      </w:r>
      <w:r w:rsidR="0023216A" w:rsidRPr="00F813FF">
        <w:t>, or related to,</w:t>
      </w:r>
      <w:r w:rsidRPr="00F813FF">
        <w:t xml:space="preserve"> classical BSE. One representative of industry (interview, 2024) said “a lot of the detailed submission sort of went to try and debunk that but it takes a lot of energy and resources, etc”. One industry representative said (interview, 2024) “the OCVO played a significant role in that coordination piece and that representation piece, because it comes down to very technical arguments, and so they needed to be spot on in order for them to then, you know, to be able to make those representations at the international level”. The </w:t>
      </w:r>
      <w:r w:rsidRPr="00F813FF">
        <w:fldChar w:fldCharType="begin"/>
      </w:r>
      <w:r w:rsidRPr="00F813FF">
        <w:instrText xml:space="preserve"> ADDIN EN.CITE &lt;EndNote&gt;&lt;Cite AuthorYear="1"&gt;&lt;Author&gt;OCVO&lt;/Author&gt;&lt;Year&gt;ND&lt;/Year&gt;&lt;RecNum&gt;4296&lt;/RecNum&gt;&lt;Suffix&gt; p. 2&lt;/Suffix&gt;&lt;DisplayText&gt;OCVO (ND p. 2)&lt;/DisplayText&gt;&lt;record&gt;&lt;rec-number&gt;4296&lt;/rec-number&gt;&lt;foreign-keys&gt;&lt;key app="EN" db-id="avt25d0dcvzvsyea29tv5fs8d9vx5xa0fa00" timestamp="1724030463"&gt;4296&lt;/key&gt;&lt;/foreign-keys&gt;&lt;ref-type name="Report"&gt;27&lt;/ref-type&gt;&lt;contributors&gt;&lt;authors&gt;&lt;author&gt;OCVO&lt;/author&gt;&lt;/authors&gt;&lt;/contributors&gt;&lt;titles&gt;&lt;title&gt;BSE Data Brief&lt;/title&gt;&lt;/titles&gt;&lt;dates&gt;&lt;year&gt;ND&lt;/year&gt;&lt;/dates&gt;&lt;pub-location&gt;Canberra&lt;/pub-location&gt;&lt;publisher&gt;Department of Agriculture, Fisheries and Forestry&lt;/publisher&gt;&lt;urls&gt;&lt;/urls&gt;&lt;/record&gt;&lt;/Cite&gt;&lt;/EndNote&gt;</w:instrText>
      </w:r>
      <w:r w:rsidRPr="00F813FF">
        <w:fldChar w:fldCharType="separate"/>
      </w:r>
      <w:r w:rsidRPr="00F813FF">
        <w:rPr>
          <w:noProof/>
        </w:rPr>
        <w:t>OCVO (</w:t>
      </w:r>
      <w:r w:rsidR="008A4D89" w:rsidRPr="00F813FF">
        <w:rPr>
          <w:noProof/>
        </w:rPr>
        <w:t>n.d.</w:t>
      </w:r>
      <w:r w:rsidRPr="00F813FF">
        <w:rPr>
          <w:noProof/>
        </w:rPr>
        <w:t xml:space="preserve"> p. 2)</w:t>
      </w:r>
      <w:r w:rsidRPr="00F813FF">
        <w:fldChar w:fldCharType="end"/>
      </w:r>
      <w:r w:rsidRPr="00F813FF">
        <w:t xml:space="preserve"> said that “Australia’s strong view is that there is no scientific basis for the application of these measures, and we would strongly reject such requirements based on a lack of scientific justification, significantly increased costs within the beef production supply and processing chain and increased waste during processing”. Furthermore, </w:t>
      </w:r>
      <w:r w:rsidR="001F575D">
        <w:t xml:space="preserve">the </w:t>
      </w:r>
      <w:r w:rsidR="00F123DA" w:rsidRPr="00BA273E">
        <w:t>Australian</w:t>
      </w:r>
      <w:r w:rsidR="00BC1FE0" w:rsidRPr="00F813FF">
        <w:t xml:space="preserve"> </w:t>
      </w:r>
      <w:r w:rsidR="00F123DA">
        <w:t>D</w:t>
      </w:r>
      <w:r w:rsidR="00BC1FE0" w:rsidRPr="00F813FF">
        <w:t>elegate</w:t>
      </w:r>
      <w:r w:rsidRPr="00F813FF">
        <w:t xml:space="preserve"> said:</w:t>
      </w:r>
    </w:p>
    <w:p w14:paraId="4240B852" w14:textId="77777777" w:rsidR="003219C7" w:rsidRPr="00F813FF" w:rsidRDefault="003219C7" w:rsidP="003219C7">
      <w:pPr>
        <w:ind w:left="426" w:right="374"/>
      </w:pPr>
      <w:r w:rsidRPr="00F813FF">
        <w:t xml:space="preserve">“Given the power of such determinations to affect countries’ animal health status and trade opportunities, it is of the utmost importance that the most rigorous, science-based and transparent approach to Code revisions is taken. However, the determination by the </w:t>
      </w:r>
      <w:r w:rsidRPr="00F813FF">
        <w:rPr>
          <w:i/>
          <w:iCs/>
        </w:rPr>
        <w:t xml:space="preserve">ad hoc </w:t>
      </w:r>
      <w:r w:rsidRPr="00F813FF">
        <w:t>group on BSE risk assessment that the oral amplification of atypical BSE poses an unacceptable risk appears to have been justified by extremely limited and artificial laboratory studies.”</w:t>
      </w:r>
    </w:p>
    <w:p w14:paraId="47EC04EB" w14:textId="49B22825" w:rsidR="003219C7" w:rsidRDefault="003219C7" w:rsidP="003219C7">
      <w:r w:rsidRPr="00F813FF">
        <w:t>To one industry representative’s (interview, 2024) mind</w:t>
      </w:r>
      <w:r w:rsidR="00384488" w:rsidRPr="00F813FF">
        <w:t>,</w:t>
      </w:r>
      <w:r w:rsidRPr="00F813FF">
        <w:t xml:space="preserve"> </w:t>
      </w:r>
      <w:r w:rsidR="002F54E2" w:rsidRPr="00F813FF">
        <w:t xml:space="preserve">the representation </w:t>
      </w:r>
      <w:r w:rsidRPr="00F813FF">
        <w:t>of renderers’ interest</w:t>
      </w:r>
      <w:r w:rsidR="00C275A6" w:rsidRPr="00F813FF">
        <w:t xml:space="preserve">s by the Australian </w:t>
      </w:r>
      <w:r w:rsidR="00143F0A" w:rsidRPr="00F813FF">
        <w:t>D</w:t>
      </w:r>
      <w:r w:rsidR="00C275A6" w:rsidRPr="00F813FF">
        <w:t>elegate to WOAH</w:t>
      </w:r>
      <w:r w:rsidR="00F20D84" w:rsidRPr="00F813FF">
        <w:t xml:space="preserve"> </w:t>
      </w:r>
      <w:r w:rsidRPr="00F813FF">
        <w:t>was “perfect”.</w:t>
      </w:r>
    </w:p>
    <w:p w14:paraId="44859120" w14:textId="52BAEDBB" w:rsidR="003219C7" w:rsidRDefault="003219C7" w:rsidP="003219C7">
      <w:r w:rsidRPr="008C3D96">
        <w:lastRenderedPageBreak/>
        <w:t xml:space="preserve">An industry representative (interview, 2024) described the advocacy process to </w:t>
      </w:r>
      <w:r w:rsidR="00F179C5">
        <w:t xml:space="preserve">provide input into </w:t>
      </w:r>
      <w:r w:rsidRPr="008C3D96">
        <w:t xml:space="preserve">the standard as a “pressure cooker environment” because the timeframes to respond to WOAH were very short. </w:t>
      </w:r>
      <w:r>
        <w:t xml:space="preserve">It was particularly difficult to develop a strong, technical argument due to the loss of corporate BSE knowledge in DAFF (industry representative, interview, 2024). A DAFF employee said it was difficult to access data and a lengthy process to consult effectively with industry. </w:t>
      </w:r>
    </w:p>
    <w:p w14:paraId="1C92AD2C" w14:textId="77777777" w:rsidR="00ED5E9B" w:rsidRDefault="00ED5E9B" w:rsidP="00ED5E9B">
      <w:pPr>
        <w:rPr>
          <w:rStyle w:val="Advisorytext"/>
          <w:color w:val="auto"/>
        </w:rPr>
      </w:pPr>
      <w:r>
        <w:t xml:space="preserve">That industry and the OCVO shared resources and data was key to making strong submissions that could challenge the scientific basis of the decision to review the standard. A DAFF employee (interview, 2024) said that the OCVO’s “position wouldn’t have been as strong or scientifically based if we didn’t have that information from the WRO”. </w:t>
      </w:r>
    </w:p>
    <w:p w14:paraId="7D89038F" w14:textId="52257DC0" w:rsidR="00823AE1" w:rsidRDefault="00823AE1" w:rsidP="00823AE1">
      <w:r>
        <w:t xml:space="preserve">The OCVO worked strategically with the WRO. This relationship was facilitated by the ARA who would relay information to the WRO the so that they could take an aligned position (industry representative, interview, 2024). Australia benefited from the WRO’s advocacy of this position internationally. For example, the WRO and the ARA presented an explanatory paper to WOAH that was distributed to New Zealand, Canada, </w:t>
      </w:r>
      <w:r w:rsidRPr="00F813FF">
        <w:t xml:space="preserve">Brazil and some European countries (industry representative, interview, 2024). WRO’s </w:t>
      </w:r>
      <w:r w:rsidR="007D3BF0" w:rsidRPr="00F813FF">
        <w:t xml:space="preserve">involvement </w:t>
      </w:r>
      <w:r w:rsidRPr="00F813FF">
        <w:t xml:space="preserve">was limited by not having a vote in WOAH’s decision making forums, </w:t>
      </w:r>
      <w:r w:rsidR="0023216A" w:rsidRPr="00F813FF">
        <w:t xml:space="preserve">and </w:t>
      </w:r>
      <w:r w:rsidRPr="00F813FF">
        <w:t xml:space="preserve">as a result they were reliant on their members to </w:t>
      </w:r>
      <w:r w:rsidR="008F1E55" w:rsidRPr="00F813FF">
        <w:t xml:space="preserve">provide input to </w:t>
      </w:r>
      <w:r w:rsidRPr="00F813FF">
        <w:t>their governments</w:t>
      </w:r>
      <w:r>
        <w:t xml:space="preserve"> who did have a vote (industry representative, interview, 2024). As such, WRO also benefited from its alliance with Australia. </w:t>
      </w:r>
    </w:p>
    <w:p w14:paraId="39DCD8CB" w14:textId="05CC2594" w:rsidR="007F4512" w:rsidRDefault="00FD6735" w:rsidP="00C10795">
      <w:pPr>
        <w:pStyle w:val="Heading2"/>
        <w:numPr>
          <w:ilvl w:val="0"/>
          <w:numId w:val="0"/>
        </w:numPr>
        <w:ind w:left="284"/>
      </w:pPr>
      <w:bookmarkStart w:id="60" w:name="_Toc184311751"/>
      <w:bookmarkStart w:id="61" w:name="_Toc206083791"/>
      <w:r>
        <w:t>4.4</w:t>
      </w:r>
      <w:r>
        <w:tab/>
      </w:r>
      <w:r w:rsidR="0002268B">
        <w:t>Advocacy of scientific evidence</w:t>
      </w:r>
      <w:r w:rsidR="00F57E3C">
        <w:t xml:space="preserve">: The </w:t>
      </w:r>
      <w:r w:rsidR="0002268B">
        <w:t xml:space="preserve">Australian </w:t>
      </w:r>
      <w:r w:rsidR="00994315">
        <w:t>representative on SCAD</w:t>
      </w:r>
      <w:bookmarkEnd w:id="60"/>
      <w:bookmarkEnd w:id="61"/>
      <w:r w:rsidR="00994315">
        <w:t xml:space="preserve"> </w:t>
      </w:r>
    </w:p>
    <w:p w14:paraId="40E7E662" w14:textId="34C3279E" w:rsidR="00D533CF" w:rsidRPr="00F813FF" w:rsidRDefault="00065D1A" w:rsidP="00D533CF">
      <w:r>
        <w:t>While</w:t>
      </w:r>
      <w:r w:rsidR="00876A4C">
        <w:t xml:space="preserve"> </w:t>
      </w:r>
      <w:r w:rsidR="00255962">
        <w:t xml:space="preserve">acting as an </w:t>
      </w:r>
      <w:r w:rsidR="0024678B">
        <w:t>independent</w:t>
      </w:r>
      <w:r w:rsidR="00255962">
        <w:t xml:space="preserve"> expert per their membership</w:t>
      </w:r>
      <w:r>
        <w:t xml:space="preserve"> within SCAD</w:t>
      </w:r>
      <w:r w:rsidR="0024678B">
        <w:t xml:space="preserve">, </w:t>
      </w:r>
      <w:r w:rsidR="00D533CF">
        <w:t>an employee of the ACD</w:t>
      </w:r>
      <w:r w:rsidR="00CF630C">
        <w:t>P</w:t>
      </w:r>
      <w:r w:rsidR="00D533CF">
        <w:t xml:space="preserve"> also </w:t>
      </w:r>
      <w:r w:rsidR="00D24BDA">
        <w:t>suggest</w:t>
      </w:r>
      <w:r w:rsidR="00D6797B">
        <w:t>ed</w:t>
      </w:r>
      <w:r w:rsidR="00D24BDA">
        <w:t xml:space="preserve"> </w:t>
      </w:r>
      <w:r w:rsidR="00D6797B">
        <w:t xml:space="preserve">a </w:t>
      </w:r>
      <w:r w:rsidR="00D24BDA">
        <w:t xml:space="preserve">reassessment by </w:t>
      </w:r>
      <w:r w:rsidR="00D533CF">
        <w:t>WOAH</w:t>
      </w:r>
      <w:r w:rsidR="00D24BDA">
        <w:t xml:space="preserve"> of its </w:t>
      </w:r>
      <w:r w:rsidR="0002268B">
        <w:t>scientific position</w:t>
      </w:r>
      <w:r w:rsidR="00D24BDA">
        <w:t xml:space="preserve"> of the perceived risks of atypical BSE</w:t>
      </w:r>
      <w:r w:rsidR="00D533CF">
        <w:t xml:space="preserve">. The ACDP is a respected reference centre for WOAH that provides scientific information and consultation to inform policy (ACDP employee, interview, 2024). As a member of SCAD, this ACDP </w:t>
      </w:r>
      <w:r w:rsidR="000D64C8">
        <w:t xml:space="preserve">employee </w:t>
      </w:r>
      <w:r w:rsidR="00D533CF">
        <w:t xml:space="preserve">(interview, 2024) </w:t>
      </w:r>
      <w:r w:rsidR="00D24BDA">
        <w:t>was</w:t>
      </w:r>
      <w:r w:rsidR="00D533CF">
        <w:t xml:space="preserve"> successful in arguing that classical BSE should be differentiated from atypical BSE, and that atypical BSE should be delisted as a notifiable disease. </w:t>
      </w:r>
      <w:r w:rsidR="000D64C8">
        <w:t xml:space="preserve">This case was then </w:t>
      </w:r>
      <w:r w:rsidR="00D533CF">
        <w:t>successful</w:t>
      </w:r>
      <w:r w:rsidR="000D64C8">
        <w:t>ly</w:t>
      </w:r>
      <w:r w:rsidR="00D533CF">
        <w:t xml:space="preserve"> </w:t>
      </w:r>
      <w:r w:rsidR="000D64C8">
        <w:t xml:space="preserve">made </w:t>
      </w:r>
      <w:r w:rsidR="00D533CF">
        <w:t xml:space="preserve">to the </w:t>
      </w:r>
      <w:r w:rsidR="00AF7EA0">
        <w:t xml:space="preserve">Terrestrial </w:t>
      </w:r>
      <w:r w:rsidR="00D533CF" w:rsidRPr="00CD0105">
        <w:rPr>
          <w:rFonts w:eastAsia="Calibri"/>
        </w:rPr>
        <w:t xml:space="preserve">Animal Health Standards </w:t>
      </w:r>
      <w:r w:rsidR="00AF7EA0">
        <w:rPr>
          <w:rFonts w:eastAsia="Calibri"/>
        </w:rPr>
        <w:t xml:space="preserve">Commission </w:t>
      </w:r>
      <w:r w:rsidR="00D533CF">
        <w:t xml:space="preserve">who were meeting the same week </w:t>
      </w:r>
      <w:r w:rsidR="00D533CF" w:rsidRPr="007F4CD3">
        <w:t xml:space="preserve">as WOAH </w:t>
      </w:r>
      <w:r w:rsidR="00D533CF">
        <w:t>G</w:t>
      </w:r>
      <w:r w:rsidR="00D533CF" w:rsidRPr="007F4CD3">
        <w:t xml:space="preserve">eneral </w:t>
      </w:r>
      <w:r w:rsidR="00D533CF">
        <w:t>S</w:t>
      </w:r>
      <w:r w:rsidR="00D533CF" w:rsidRPr="007F4CD3">
        <w:t>ession</w:t>
      </w:r>
      <w:r w:rsidR="00D533CF">
        <w:t xml:space="preserve"> in Paris in 2022. Part of their argument w</w:t>
      </w:r>
      <w:r w:rsidR="00D533CF" w:rsidRPr="00875C8A">
        <w:t xml:space="preserve">as that “in the 20 or 30 years that we had known about atypical BSE there had never been a </w:t>
      </w:r>
      <w:r w:rsidR="007E67F9" w:rsidRPr="00875C8A">
        <w:t xml:space="preserve">natural, </w:t>
      </w:r>
      <w:r w:rsidR="00D533CF" w:rsidRPr="00875C8A">
        <w:t xml:space="preserve">a case of natural </w:t>
      </w:r>
      <w:r w:rsidR="000D64C8">
        <w:t xml:space="preserve">[sic] </w:t>
      </w:r>
      <w:r w:rsidR="00D533CF" w:rsidRPr="00875C8A">
        <w:t>transmission of atypical BSE, from one animal to the other”.</w:t>
      </w:r>
      <w:r w:rsidR="00D533CF" w:rsidRPr="002C08BC">
        <w:rPr>
          <w:rStyle w:val="QuoteChar"/>
        </w:rPr>
        <w:t xml:space="preserve"> </w:t>
      </w:r>
      <w:r w:rsidR="00D533CF">
        <w:t>They said “</w:t>
      </w:r>
      <w:r w:rsidR="00D533CF" w:rsidRPr="00506D7D">
        <w:t xml:space="preserve">my argument was quite simply, if a disease is not transmissible, why is it being listed as a </w:t>
      </w:r>
      <w:r w:rsidR="009B0219">
        <w:t>[</w:t>
      </w:r>
      <w:r w:rsidR="00E94A4D">
        <w:t xml:space="preserve">WOAH </w:t>
      </w:r>
      <w:r w:rsidR="009B0219">
        <w:t xml:space="preserve">notifiable] </w:t>
      </w:r>
      <w:r w:rsidR="00D533CF" w:rsidRPr="00506D7D">
        <w:t>disease?</w:t>
      </w:r>
      <w:r w:rsidR="00D533CF">
        <w:t>”</w:t>
      </w:r>
      <w:r w:rsidR="00D533CF" w:rsidRPr="00E637F5">
        <w:t xml:space="preserve"> </w:t>
      </w:r>
      <w:r w:rsidR="00D533CF">
        <w:t>This ACDP employee (interview, 2024) worked to reassure WOAH that not listing the disease would not increase the risk of atypical BSE.</w:t>
      </w:r>
      <w:r w:rsidR="00D533CF" w:rsidRPr="00F57E3C">
        <w:t xml:space="preserve"> </w:t>
      </w:r>
      <w:r w:rsidR="00D533CF">
        <w:t>This AC</w:t>
      </w:r>
      <w:r w:rsidR="00D6797B">
        <w:t xml:space="preserve">DP </w:t>
      </w:r>
      <w:r w:rsidR="00D533CF">
        <w:t>employee’s position supported that of the OCVO and WRO which was that the scientific basis for cha</w:t>
      </w:r>
      <w:r w:rsidR="001623B2">
        <w:t>llenging</w:t>
      </w:r>
      <w:r w:rsidR="00D533CF">
        <w:t xml:space="preserve"> the standard as not sound (AC</w:t>
      </w:r>
      <w:r w:rsidR="00D6797B">
        <w:t xml:space="preserve">DP </w:t>
      </w:r>
      <w:r w:rsidR="00D533CF">
        <w:t xml:space="preserve">employee, interview, 2024). They said that the finding from the one study on atypical BSE in a laboratory study justified </w:t>
      </w:r>
      <w:r w:rsidR="00D533CF">
        <w:lastRenderedPageBreak/>
        <w:t xml:space="preserve">monitoring, but not listing, the disease. If atypical BSE was a listed disease, countries would have to report it </w:t>
      </w:r>
      <w:r w:rsidR="00D533CF" w:rsidRPr="003C5FA8">
        <w:t xml:space="preserve">within </w:t>
      </w:r>
      <w:r w:rsidR="00D43F5A">
        <w:t>[24</w:t>
      </w:r>
      <w:r w:rsidR="00D533CF" w:rsidRPr="003C5FA8">
        <w:t xml:space="preserve"> hours</w:t>
      </w:r>
      <w:r w:rsidR="00D43F5A">
        <w:t>]</w:t>
      </w:r>
      <w:r w:rsidR="00D533CF">
        <w:t xml:space="preserve"> (AC</w:t>
      </w:r>
      <w:r w:rsidR="00D6797B">
        <w:t xml:space="preserve">DP </w:t>
      </w:r>
      <w:r w:rsidR="00D533CF">
        <w:t>employee, interview, 2024). They said that countries were struggling with reporting requirements</w:t>
      </w:r>
      <w:r w:rsidR="00804090">
        <w:t>,</w:t>
      </w:r>
      <w:r w:rsidR="00D533CF">
        <w:t xml:space="preserve"> which </w:t>
      </w:r>
      <w:r w:rsidR="00804090">
        <w:t xml:space="preserve">in this case </w:t>
      </w:r>
      <w:r w:rsidR="00D533CF">
        <w:t xml:space="preserve">may lead to “either suppression of results, suppression of findings [or] poor surveillance”. Due </w:t>
      </w:r>
      <w:r w:rsidR="00D533CF" w:rsidRPr="00F813FF">
        <w:t xml:space="preserve">to the independence and confidentiality requirements, the OCVO did not benefit from </w:t>
      </w:r>
      <w:r w:rsidR="00496220" w:rsidRPr="00F813FF">
        <w:t>the membership</w:t>
      </w:r>
      <w:r w:rsidR="00D533CF" w:rsidRPr="00F813FF">
        <w:t xml:space="preserve"> or coordinate positions with the Australian expert on SCAD</w:t>
      </w:r>
      <w:r w:rsidR="00496220" w:rsidRPr="00F813FF">
        <w:t xml:space="preserve"> in this instance</w:t>
      </w:r>
      <w:r w:rsidR="00D533CF" w:rsidRPr="00F813FF">
        <w:t xml:space="preserve"> (ACDP employee, interview, 2024; DAFF employee, interview, 2024). </w:t>
      </w:r>
      <w:r w:rsidR="000D64C8" w:rsidRPr="00F813FF">
        <w:t>However</w:t>
      </w:r>
      <w:r w:rsidR="00D533CF" w:rsidRPr="00F813FF">
        <w:t xml:space="preserve">, both were </w:t>
      </w:r>
      <w:r w:rsidR="000D64C8" w:rsidRPr="00F813FF">
        <w:t xml:space="preserve">aligned in that the </w:t>
      </w:r>
      <w:r w:rsidR="00D533CF" w:rsidRPr="00F813FF">
        <w:t>scientific basis used to justify a change in the standard</w:t>
      </w:r>
      <w:r w:rsidR="000D64C8" w:rsidRPr="00F813FF">
        <w:t>s</w:t>
      </w:r>
      <w:r w:rsidR="00D533CF" w:rsidRPr="00F813FF">
        <w:t xml:space="preserve"> was not sound. </w:t>
      </w:r>
    </w:p>
    <w:p w14:paraId="2456467C" w14:textId="4A17C906" w:rsidR="004668A9" w:rsidRPr="00F813FF" w:rsidRDefault="00E4179F" w:rsidP="006367C5">
      <w:pPr>
        <w:pStyle w:val="Heading2"/>
        <w:numPr>
          <w:ilvl w:val="0"/>
          <w:numId w:val="0"/>
        </w:numPr>
        <w:ind w:left="284"/>
      </w:pPr>
      <w:bookmarkStart w:id="62" w:name="_Toc206083792"/>
      <w:r w:rsidRPr="00F813FF">
        <w:t>4.5</w:t>
      </w:r>
      <w:r w:rsidR="0008429B" w:rsidRPr="00F813FF">
        <w:t xml:space="preserve"> </w:t>
      </w:r>
      <w:bookmarkStart w:id="63" w:name="_Toc184311752"/>
      <w:r w:rsidR="0008429B" w:rsidRPr="00F813FF">
        <w:t xml:space="preserve">The Australian response: The </w:t>
      </w:r>
      <w:r w:rsidR="00BC1FE0" w:rsidRPr="00F813FF">
        <w:t>benefits of close engagement with WOAH’</w:t>
      </w:r>
      <w:bookmarkEnd w:id="62"/>
      <w:r w:rsidR="00BC1FE0" w:rsidRPr="00F813FF">
        <w:t xml:space="preserve"> </w:t>
      </w:r>
      <w:bookmarkEnd w:id="63"/>
    </w:p>
    <w:p w14:paraId="59404D27" w14:textId="5A76BB78" w:rsidR="0025675D" w:rsidRPr="00F813FF" w:rsidRDefault="0025675D" w:rsidP="0025675D">
      <w:r w:rsidRPr="00F813FF">
        <w:t xml:space="preserve">The CVO had </w:t>
      </w:r>
      <w:r w:rsidR="000657E3" w:rsidRPr="00F813FF">
        <w:t>credibility and strong engagement with WOAH as</w:t>
      </w:r>
      <w:r w:rsidRPr="00F813FF">
        <w:t xml:space="preserve"> the President of WOAH, including </w:t>
      </w:r>
      <w:r w:rsidR="00215113" w:rsidRPr="00F813FF">
        <w:t xml:space="preserve">with the </w:t>
      </w:r>
      <w:r w:rsidRPr="00F813FF">
        <w:t>Director-General Monique Eloit (2015-</w:t>
      </w:r>
      <w:r w:rsidR="00AF7EA0" w:rsidRPr="00F813FF">
        <w:t>2024</w:t>
      </w:r>
      <w:r w:rsidRPr="00F813FF">
        <w:t xml:space="preserve">) (DAFF employee, interview, 2023). Australia’s CVO had been on the Council of WOAH from 2012-2024 and had meetings with the Director-General three times a year, with additional opportunities for input (DAFF employee, interview, 2023). </w:t>
      </w:r>
      <w:r w:rsidR="00B77345">
        <w:t xml:space="preserve">The </w:t>
      </w:r>
      <w:r w:rsidR="004D2066" w:rsidRPr="00B77345">
        <w:t>Australia</w:t>
      </w:r>
      <w:r w:rsidR="00B77345">
        <w:t>n</w:t>
      </w:r>
      <w:r w:rsidR="004D2066" w:rsidRPr="00B77345">
        <w:t xml:space="preserve"> Delegate</w:t>
      </w:r>
      <w:r w:rsidR="004D2066" w:rsidRPr="00F813FF">
        <w:t xml:space="preserve"> </w:t>
      </w:r>
      <w:r w:rsidRPr="00F813FF">
        <w:t xml:space="preserve">wrote to </w:t>
      </w:r>
      <w:r w:rsidR="00C62FD0" w:rsidRPr="00F813FF">
        <w:rPr>
          <w:lang w:val="en-US"/>
        </w:rPr>
        <w:t xml:space="preserve">WOAH in </w:t>
      </w:r>
      <w:r w:rsidRPr="00F813FF">
        <w:t xml:space="preserve">August 2022 to state that Australia </w:t>
      </w:r>
      <w:r w:rsidR="009A1680" w:rsidRPr="00F813FF">
        <w:t xml:space="preserve">fundamentally </w:t>
      </w:r>
      <w:r w:rsidRPr="00F813FF">
        <w:t xml:space="preserve">disagreed with the </w:t>
      </w:r>
      <w:r w:rsidR="009A1680" w:rsidRPr="00F813FF">
        <w:t xml:space="preserve">scientific basis for the </w:t>
      </w:r>
      <w:r w:rsidRPr="00F813FF">
        <w:t xml:space="preserve">recommendations of the </w:t>
      </w:r>
      <w:r w:rsidRPr="00F813FF">
        <w:rPr>
          <w:i/>
        </w:rPr>
        <w:t>ad hoc</w:t>
      </w:r>
      <w:r w:rsidRPr="00F813FF">
        <w:t xml:space="preserve"> group on BSE</w:t>
      </w:r>
      <w:r w:rsidR="009A1680" w:rsidRPr="00F813FF">
        <w:t xml:space="preserve">. Australia would have to reassess its engagement </w:t>
      </w:r>
      <w:r w:rsidR="00AB6F8B" w:rsidRPr="00F813FF">
        <w:t xml:space="preserve">with </w:t>
      </w:r>
      <w:r w:rsidR="009A1680" w:rsidRPr="00F813FF">
        <w:t>the organisation if</w:t>
      </w:r>
      <w:r w:rsidR="00956732" w:rsidRPr="00F813FF">
        <w:t xml:space="preserve"> it</w:t>
      </w:r>
      <w:r w:rsidR="009A1680" w:rsidRPr="00F813FF">
        <w:t xml:space="preserve"> deemed </w:t>
      </w:r>
      <w:r w:rsidR="00804090" w:rsidRPr="00F813FF">
        <w:t xml:space="preserve">that </w:t>
      </w:r>
      <w:r w:rsidR="00D0416E" w:rsidRPr="00F813FF">
        <w:t>WOAH</w:t>
      </w:r>
      <w:r w:rsidR="009A1680" w:rsidRPr="00F813FF">
        <w:t xml:space="preserve"> processes </w:t>
      </w:r>
      <w:r w:rsidR="00804090" w:rsidRPr="00F813FF">
        <w:t xml:space="preserve">were </w:t>
      </w:r>
      <w:r w:rsidR="009A1680" w:rsidRPr="00F813FF">
        <w:t xml:space="preserve">contrary to </w:t>
      </w:r>
      <w:r w:rsidR="009D2326" w:rsidRPr="00F813FF">
        <w:t>best-practice science</w:t>
      </w:r>
      <w:r w:rsidR="009A1680" w:rsidRPr="00F813FF">
        <w:t>.</w:t>
      </w:r>
      <w:r w:rsidRPr="00F813FF">
        <w:t xml:space="preserve"> When Elo</w:t>
      </w:r>
      <w:r w:rsidR="00C73516" w:rsidRPr="00F813FF">
        <w:t>i</w:t>
      </w:r>
      <w:r w:rsidRPr="00F813FF">
        <w:t>t had her first official visit to Australia as</w:t>
      </w:r>
      <w:r w:rsidR="00C62FD0" w:rsidRPr="00F813FF">
        <w:t xml:space="preserve"> Director General</w:t>
      </w:r>
      <w:r w:rsidRPr="00F813FF">
        <w:t xml:space="preserve"> of WOAH, the </w:t>
      </w:r>
      <w:r w:rsidR="00FE0806" w:rsidRPr="00F813FF">
        <w:t xml:space="preserve">BSE standards </w:t>
      </w:r>
      <w:r w:rsidR="005B6058" w:rsidRPr="00F813FF">
        <w:t>were expected to</w:t>
      </w:r>
      <w:r w:rsidR="00FE0806" w:rsidRPr="00F813FF">
        <w:t xml:space="preserve"> be a key issue for the </w:t>
      </w:r>
      <w:r w:rsidRPr="00F813FF">
        <w:t xml:space="preserve">Australian Minister for Agriculture, Fisheries and Forestry (DAFF employee, interview, </w:t>
      </w:r>
      <w:r w:rsidRPr="00F813FF">
        <w:rPr>
          <w:rFonts w:eastAsia="Calibri"/>
        </w:rPr>
        <w:t>2023</w:t>
      </w:r>
      <w:r w:rsidRPr="00F813FF">
        <w:t>). The OCVO (</w:t>
      </w:r>
      <w:r w:rsidR="00C73516" w:rsidRPr="00F813FF">
        <w:t>n.d.</w:t>
      </w:r>
      <w:r w:rsidRPr="00F813FF">
        <w:t xml:space="preserve">) also </w:t>
      </w:r>
      <w:r w:rsidR="00C73516" w:rsidRPr="00F813FF">
        <w:t>noted that the draft standard lacked scientific justification and</w:t>
      </w:r>
      <w:r w:rsidR="00993BB0" w:rsidRPr="00F813FF">
        <w:t xml:space="preserve"> therefore</w:t>
      </w:r>
      <w:r w:rsidRPr="00F813FF">
        <w:t xml:space="preserve"> the commercial impost on Australia </w:t>
      </w:r>
      <w:r w:rsidR="00507516" w:rsidRPr="00F813FF">
        <w:t xml:space="preserve">would be </w:t>
      </w:r>
      <w:r w:rsidRPr="00F813FF">
        <w:t xml:space="preserve">unreasonable. </w:t>
      </w:r>
      <w:r w:rsidR="00C73516" w:rsidRPr="00F813FF">
        <w:t>The OCVO</w:t>
      </w:r>
      <w:r w:rsidRPr="00F813FF">
        <w:t xml:space="preserve"> (</w:t>
      </w:r>
      <w:r w:rsidR="00C73516" w:rsidRPr="00F813FF">
        <w:t>n.d.</w:t>
      </w:r>
      <w:r w:rsidRPr="00F813FF">
        <w:t xml:space="preserve"> p. 1) argued “the annual value of exports supported by Australia’s negligible BSE risk status is more than $13 billion”. A DAFF employee (interview, 2023) observed that Director-General Eliot, could see that there were significant commercial consequences of implementing the draft standard.</w:t>
      </w:r>
    </w:p>
    <w:p w14:paraId="12DCBA12" w14:textId="7F39317A" w:rsidR="0025675D" w:rsidRPr="00167668" w:rsidRDefault="0025675D" w:rsidP="0025675D">
      <w:pPr>
        <w:pStyle w:val="ListParagraph"/>
        <w:ind w:left="0"/>
        <w:contextualSpacing w:val="0"/>
      </w:pPr>
      <w:r w:rsidRPr="00F813FF">
        <w:t xml:space="preserve">Additionally, </w:t>
      </w:r>
      <w:r w:rsidR="00F05D62">
        <w:t xml:space="preserve">as the </w:t>
      </w:r>
      <w:r w:rsidR="00E10986" w:rsidRPr="00F813FF">
        <w:t>Australia</w:t>
      </w:r>
      <w:r w:rsidR="00F05D62">
        <w:t>n</w:t>
      </w:r>
      <w:r w:rsidR="00E10986" w:rsidRPr="00F813FF">
        <w:t xml:space="preserve"> </w:t>
      </w:r>
      <w:r w:rsidR="00507516" w:rsidRPr="00F813FF">
        <w:t>D</w:t>
      </w:r>
      <w:r w:rsidR="00CD57C3" w:rsidRPr="00F813FF">
        <w:t>elegate to WOAH</w:t>
      </w:r>
      <w:r w:rsidRPr="00F813FF">
        <w:t>, had a seat on the WOAH Bureau of the Regional Commission for Asia and the Pacific</w:t>
      </w:r>
      <w:r w:rsidR="00FE0806" w:rsidRPr="00F813FF">
        <w:t xml:space="preserve"> – the region’s leadership group</w:t>
      </w:r>
      <w:r w:rsidRPr="00F813FF">
        <w:t xml:space="preserve">. An ACDP employee (interview, 2024) reflected that the role of the Australian </w:t>
      </w:r>
      <w:r w:rsidR="00507516" w:rsidRPr="00F813FF">
        <w:t>D</w:t>
      </w:r>
      <w:r w:rsidR="00EC2572" w:rsidRPr="00F813FF">
        <w:t xml:space="preserve">elegate </w:t>
      </w:r>
      <w:r w:rsidRPr="00F813FF">
        <w:t>was “absolutely critical” in advocating for a change to the problematic BSE standard</w:t>
      </w:r>
      <w:r w:rsidR="00F8558D" w:rsidRPr="00F813FF">
        <w:t>,</w:t>
      </w:r>
      <w:r>
        <w:t xml:space="preserve"> as </w:t>
      </w:r>
      <w:r w:rsidR="00EC2572">
        <w:t xml:space="preserve">they were </w:t>
      </w:r>
      <w:r>
        <w:t xml:space="preserve">“highly influential and high profile”. An industry representative (interview, 2024) commented that </w:t>
      </w:r>
      <w:r w:rsidR="0052774A">
        <w:t xml:space="preserve">the Australian </w:t>
      </w:r>
      <w:r w:rsidR="00F05D62">
        <w:t>D</w:t>
      </w:r>
      <w:r w:rsidR="0052774A">
        <w:t>elegate to WOAH</w:t>
      </w:r>
      <w:r>
        <w:t xml:space="preserve"> was “so brilliant. WOAH will miss his contribution because he is truly remarkable”. Another industry representative (interview, 2024) said that </w:t>
      </w:r>
      <w:r w:rsidR="0052774A">
        <w:t xml:space="preserve">the </w:t>
      </w:r>
      <w:r w:rsidR="00F05D62">
        <w:t>D</w:t>
      </w:r>
      <w:r w:rsidR="0052774A">
        <w:t xml:space="preserve">elegate </w:t>
      </w:r>
      <w:r>
        <w:t>has “had an intimate knowledge of the trade protocols and certification requirements, and the implications for industry”. This allowed Australia greater insight into deliberations within WOAH (DAFF employee, interview, 2023). Elo</w:t>
      </w:r>
      <w:r w:rsidR="00C73516">
        <w:t>i</w:t>
      </w:r>
      <w:r>
        <w:t xml:space="preserve">t shared </w:t>
      </w:r>
      <w:r w:rsidR="0052774A">
        <w:t xml:space="preserve">the Australian </w:t>
      </w:r>
      <w:r w:rsidR="00F05D62">
        <w:t>D</w:t>
      </w:r>
      <w:r w:rsidR="0052774A">
        <w:t xml:space="preserve">elegate’s </w:t>
      </w:r>
      <w:r>
        <w:t xml:space="preserve">consultative partnership approach to governance and a shared respect for member input and transparency (DAFF employee, interview, 2023). </w:t>
      </w:r>
      <w:r w:rsidRPr="00662BAA">
        <w:rPr>
          <w:color w:val="000000"/>
        </w:rPr>
        <w:t xml:space="preserve">A DAFF employee (interview, 2023) </w:t>
      </w:r>
      <w:r w:rsidRPr="00AC1476">
        <w:lastRenderedPageBreak/>
        <w:t xml:space="preserve">said that “From WOAH’s perspective </w:t>
      </w:r>
      <w:r w:rsidRPr="00167668">
        <w:t xml:space="preserve">a lot of </w:t>
      </w:r>
      <w:r w:rsidR="0052774A" w:rsidRPr="00167668">
        <w:t xml:space="preserve">[the Australian </w:t>
      </w:r>
      <w:r w:rsidR="00C81E8A" w:rsidRPr="00167668">
        <w:t>D</w:t>
      </w:r>
      <w:r w:rsidR="0052774A" w:rsidRPr="00D052DD">
        <w:t>elegate’s]</w:t>
      </w:r>
      <w:r w:rsidR="0052774A" w:rsidRPr="00167668">
        <w:t xml:space="preserve"> </w:t>
      </w:r>
      <w:r w:rsidRPr="00167668">
        <w:t xml:space="preserve">respect comes from following the rules”. Reflections from an ACDP employee (interview, 2024) supported this: “I’m very pleased to say that, you know it wasn't motivated by any communication that I’d had with the Australian Government. It was purely my position as an expert scientist on the Scientific Commission”. </w:t>
      </w:r>
    </w:p>
    <w:p w14:paraId="0F16F26F" w14:textId="268FD86A" w:rsidR="001F6182" w:rsidRPr="00167668" w:rsidRDefault="001F6182" w:rsidP="001F6182">
      <w:r w:rsidRPr="00167668">
        <w:t xml:space="preserve">Australia was also very active in providing feedback into chapters (DAFF employee, interview, 2023). A DAFF employee (interview, 2023) commented that “A lot of our feedback came from half yearly conversation cycles. Which is the standard mechanisms and quite a valuable one, [as] WOAH considers them.” Another DAFF employee (interview, 2023) said “Our contribution was science-based, rational, evidenced-based, thought through. We actively participated through written comments and verbal participation”. WOAH has also noted that there is a recognised and important non-quantifiable contribution from Australia, such as input in different WOAH institutions, provision of secondees, and a wide variety of active contribution to the organisation </w:t>
      </w:r>
      <w:r w:rsidRPr="00167668">
        <w:fldChar w:fldCharType="begin"/>
      </w:r>
      <w:r w:rsidRPr="00167668">
        <w:instrText xml:space="preserve"> ADDIN EN.CITE &lt;EndNote&gt;&lt;Cite&gt;&lt;Author&gt;World Fund Advisory Committee&lt;/Author&gt;&lt;Year&gt;2024&lt;/Year&gt;&lt;RecNum&gt;4294&lt;/RecNum&gt;&lt;DisplayText&gt;(World Fund Advisory Committee 2024)&lt;/DisplayText&gt;&lt;record&gt;&lt;rec-number&gt;4294&lt;/rec-number&gt;&lt;foreign-keys&gt;&lt;key app="EN" db-id="avt25d0dcvzvsyea29tv5fs8d9vx5xa0fa00" timestamp="1723085219"&gt;4294&lt;/key&gt;&lt;/foreign-keys&gt;&lt;ref-type name="Report"&gt;27&lt;/ref-type&gt;&lt;contributors&gt;&lt;authors&gt;&lt;author&gt;World Fund Advisory Committee,&lt;/author&gt;&lt;/authors&gt;&lt;/contributors&gt;&lt;titles&gt;&lt;title&gt;19th World Fund Advisory Committee Meeting&lt;/title&gt;&lt;/titles&gt;&lt;dates&gt;&lt;year&gt;2024&lt;/year&gt;&lt;pub-dates&gt;&lt;date&gt;May 27&lt;/date&gt;&lt;/pub-dates&gt;&lt;/dates&gt;&lt;pub-location&gt;Paris&lt;/pub-location&gt;&lt;publisher&gt;World Organisation for Animal Health&lt;/publisher&gt;&lt;urls&gt;&lt;/urls&gt;&lt;/record&gt;&lt;/Cite&gt;&lt;/EndNote&gt;</w:instrText>
      </w:r>
      <w:r w:rsidRPr="00167668">
        <w:fldChar w:fldCharType="separate"/>
      </w:r>
      <w:r w:rsidRPr="00167668">
        <w:rPr>
          <w:noProof/>
        </w:rPr>
        <w:t>(World Fund Advisory Committee 2024)</w:t>
      </w:r>
      <w:r w:rsidRPr="00167668">
        <w:fldChar w:fldCharType="end"/>
      </w:r>
      <w:r w:rsidRPr="00167668">
        <w:t xml:space="preserve">. </w:t>
      </w:r>
    </w:p>
    <w:p w14:paraId="070AD04C" w14:textId="388785E6" w:rsidR="0055183A" w:rsidRPr="00167668" w:rsidRDefault="00F05D62" w:rsidP="0055183A">
      <w:r>
        <w:t xml:space="preserve">The </w:t>
      </w:r>
      <w:r w:rsidR="00736F28" w:rsidRPr="00D052DD">
        <w:t>Australia</w:t>
      </w:r>
      <w:r>
        <w:t>n</w:t>
      </w:r>
      <w:r w:rsidR="00736F28" w:rsidRPr="00D052DD">
        <w:t xml:space="preserve"> </w:t>
      </w:r>
      <w:r w:rsidR="0071084C" w:rsidRPr="00167668">
        <w:t>D</w:t>
      </w:r>
      <w:r w:rsidR="00736F28" w:rsidRPr="00D052DD">
        <w:t>elegate to WOAH</w:t>
      </w:r>
      <w:r w:rsidR="0055183A" w:rsidRPr="00167668">
        <w:t xml:space="preserve"> also made the argument to WOAH that </w:t>
      </w:r>
      <w:r w:rsidR="00FE41C6" w:rsidRPr="00167668">
        <w:t>the process was not sufficient</w:t>
      </w:r>
      <w:r w:rsidR="00AB500F" w:rsidRPr="00167668">
        <w:t xml:space="preserve"> such asking Members to vote on the draft </w:t>
      </w:r>
      <w:r w:rsidR="00AB500F" w:rsidRPr="00D052DD">
        <w:t>BSE standards prior to understanding their implications based on WOAH’s assessment</w:t>
      </w:r>
      <w:r w:rsidR="00AB500F" w:rsidRPr="00167668">
        <w:t xml:space="preserve"> </w:t>
      </w:r>
      <w:r w:rsidR="00797D76" w:rsidRPr="00167668">
        <w:t>(A DAFF employe</w:t>
      </w:r>
      <w:r w:rsidR="000A43B9" w:rsidRPr="00167668">
        <w:t xml:space="preserve">e, </w:t>
      </w:r>
      <w:r w:rsidR="00797D76" w:rsidRPr="00167668">
        <w:t>interview, 2024)</w:t>
      </w:r>
      <w:r w:rsidR="0055183A" w:rsidRPr="00167668">
        <w:t xml:space="preserve">. The OCVO and industry, such as the Australian Meat Industry Council, the ARA and the Stock Feed Manufacturers’ Council of Australia representatives in the rendering industry, were dissatisfied by WOAH’s process of consultation and felt it fell short of due process standards </w:t>
      </w:r>
      <w:r w:rsidR="0055183A" w:rsidRPr="00167668">
        <w:fldChar w:fldCharType="begin"/>
      </w:r>
      <w:r w:rsidR="0055183A" w:rsidRPr="00167668">
        <w:instrText xml:space="preserve"> ADDIN EN.CITE &lt;EndNote&gt;&lt;Cite&gt;&lt;Author&gt;OCVO&lt;/Author&gt;&lt;Year&gt;ND&lt;/Year&gt;&lt;RecNum&gt;4296&lt;/RecNum&gt;&lt;DisplayText&gt;(OCVO ND)&lt;/DisplayText&gt;&lt;record&gt;&lt;rec-number&gt;4296&lt;/rec-number&gt;&lt;foreign-keys&gt;&lt;key app="EN" db-id="avt25d0dcvzvsyea29tv5fs8d9vx5xa0fa00" timestamp="1724030463"&gt;4296&lt;/key&gt;&lt;/foreign-keys&gt;&lt;ref-type name="Report"&gt;27&lt;/ref-type&gt;&lt;contributors&gt;&lt;authors&gt;&lt;author&gt;OCVO&lt;/author&gt;&lt;/authors&gt;&lt;/contributors&gt;&lt;titles&gt;&lt;title&gt;BSE Data Brief&lt;/title&gt;&lt;/titles&gt;&lt;dates&gt;&lt;year&gt;ND&lt;/year&gt;&lt;/dates&gt;&lt;pub-location&gt;Canberra&lt;/pub-location&gt;&lt;publisher&gt;Department of Agriculture, Fisheries and Forestry&lt;/publisher&gt;&lt;urls&gt;&lt;/urls&gt;&lt;/record&gt;&lt;/Cite&gt;&lt;/EndNote&gt;</w:instrText>
      </w:r>
      <w:r w:rsidR="0055183A" w:rsidRPr="00167668">
        <w:fldChar w:fldCharType="separate"/>
      </w:r>
      <w:r w:rsidR="0055183A" w:rsidRPr="00167668">
        <w:rPr>
          <w:noProof/>
        </w:rPr>
        <w:t>(OCVO ND)</w:t>
      </w:r>
      <w:r w:rsidR="0055183A" w:rsidRPr="00167668">
        <w:fldChar w:fldCharType="end"/>
      </w:r>
      <w:r w:rsidR="0055183A" w:rsidRPr="00167668">
        <w:t>. A DAFF employee (interview, 2024) reflected “that was one of the stronger arguments, because just has such a strong kind of principle basis that thinking anything in life, you shouldn't be asked to vote on something if you don’t understand what the implications are”.</w:t>
      </w:r>
    </w:p>
    <w:p w14:paraId="5DD7A7AA" w14:textId="422892F5" w:rsidR="00D84D9C" w:rsidRPr="00167668" w:rsidRDefault="0043128B" w:rsidP="00DA2B47">
      <w:pPr>
        <w:pStyle w:val="Heading2"/>
        <w:numPr>
          <w:ilvl w:val="0"/>
          <w:numId w:val="0"/>
        </w:numPr>
        <w:ind w:left="284"/>
      </w:pPr>
      <w:bookmarkStart w:id="64" w:name="_Toc184311753"/>
      <w:bookmarkStart w:id="65" w:name="_Toc206083793"/>
      <w:r w:rsidRPr="00167668">
        <w:t xml:space="preserve">4.6 </w:t>
      </w:r>
      <w:r w:rsidR="005229F9" w:rsidRPr="00167668">
        <w:t xml:space="preserve">Impacts of Australian </w:t>
      </w:r>
      <w:r w:rsidR="00FE0806" w:rsidRPr="00167668">
        <w:t>representation</w:t>
      </w:r>
      <w:r w:rsidR="005229F9" w:rsidRPr="00167668">
        <w:t xml:space="preserve">: </w:t>
      </w:r>
      <w:r w:rsidR="008E5C42" w:rsidRPr="00167668">
        <w:t xml:space="preserve">Factors leading to the </w:t>
      </w:r>
      <w:r w:rsidR="005229F9" w:rsidRPr="00167668">
        <w:t>withdrawal of the proposed standard</w:t>
      </w:r>
      <w:bookmarkEnd w:id="64"/>
      <w:bookmarkEnd w:id="65"/>
    </w:p>
    <w:p w14:paraId="77B1F469" w14:textId="75252319" w:rsidR="00364992" w:rsidRPr="00167668" w:rsidRDefault="00364992" w:rsidP="00364992">
      <w:r w:rsidRPr="00167668">
        <w:t xml:space="preserve">Australia’s capacity to influence WOAH was strengthened by its reputation of bringing reliable data (industry representative, interview, 2024), the </w:t>
      </w:r>
      <w:r w:rsidR="00333761" w:rsidRPr="00D052DD">
        <w:t>advocacy of</w:t>
      </w:r>
      <w:r w:rsidRPr="00167668">
        <w:t xml:space="preserve"> </w:t>
      </w:r>
      <w:r w:rsidR="00333761" w:rsidRPr="00167668">
        <w:t xml:space="preserve">the Australian </w:t>
      </w:r>
      <w:r w:rsidR="00D710C1" w:rsidRPr="00167668">
        <w:t>D</w:t>
      </w:r>
      <w:r w:rsidR="00333761" w:rsidRPr="00167668">
        <w:t>elegate to WOAH</w:t>
      </w:r>
      <w:r w:rsidRPr="00167668">
        <w:t xml:space="preserve"> through </w:t>
      </w:r>
      <w:r w:rsidR="00402345" w:rsidRPr="00167668">
        <w:t>their</w:t>
      </w:r>
      <w:r w:rsidR="00D710C1" w:rsidRPr="00167668">
        <w:t xml:space="preserve"> </w:t>
      </w:r>
      <w:r w:rsidRPr="00167668">
        <w:t>leadership roles and its collaboration with industry. Australia argued that the draft standard</w:t>
      </w:r>
      <w:r w:rsidR="00ED17F2" w:rsidRPr="00167668">
        <w:t>s</w:t>
      </w:r>
      <w:r w:rsidRPr="00167668">
        <w:t xml:space="preserve"> should not be adopted because it was not based on rigorous scientific evidence, </w:t>
      </w:r>
      <w:r w:rsidR="000E1260" w:rsidRPr="00167668">
        <w:t xml:space="preserve">there was insufficient transparency in the standard setting </w:t>
      </w:r>
      <w:r w:rsidRPr="00167668">
        <w:t>process</w:t>
      </w:r>
      <w:r w:rsidR="000E1260" w:rsidRPr="00167668">
        <w:t>,</w:t>
      </w:r>
      <w:r w:rsidRPr="00167668">
        <w:t xml:space="preserve"> and that it would have a significant impact on trade.</w:t>
      </w:r>
    </w:p>
    <w:p w14:paraId="5CC49859" w14:textId="38AC8999" w:rsidR="00956A48" w:rsidRDefault="00956A48" w:rsidP="00956A48">
      <w:r w:rsidRPr="00167668">
        <w:t>Prior to the session where standards were voted on in</w:t>
      </w:r>
      <w:r>
        <w:t xml:space="preserve"> 2022, the President of the Terrestrial Animal Health Code Commission</w:t>
      </w:r>
      <w:r w:rsidR="00E24B75">
        <w:t xml:space="preserve"> </w:t>
      </w:r>
      <w:r>
        <w:t xml:space="preserve">withdrew the item from adoption. This was because there was uncertainty about whether there would be consensus (DAFF </w:t>
      </w:r>
      <w:r w:rsidRPr="00167668">
        <w:t xml:space="preserve">employee, interview, 2023; industry representative, interview, 2024), that they could not see a way forward (DAFF employee, interview, 2023) and that </w:t>
      </w:r>
      <w:r w:rsidR="00ED17F2" w:rsidRPr="00167668">
        <w:t>t</w:t>
      </w:r>
      <w:r w:rsidRPr="00167668">
        <w:t xml:space="preserve">here would have been a significant number of countries that would have been put off-side (DAFF employee, interview, 2023; DAFF employee, interview with industry representative, </w:t>
      </w:r>
      <w:r w:rsidRPr="00167668">
        <w:lastRenderedPageBreak/>
        <w:t xml:space="preserve">2024). This </w:t>
      </w:r>
      <w:r w:rsidR="002F116B" w:rsidRPr="00167668">
        <w:t xml:space="preserve">could </w:t>
      </w:r>
      <w:r w:rsidRPr="00167668">
        <w:t xml:space="preserve">create reputational </w:t>
      </w:r>
      <w:r w:rsidR="002F116B" w:rsidRPr="00167668">
        <w:t xml:space="preserve">risk </w:t>
      </w:r>
      <w:r w:rsidRPr="00167668">
        <w:t>to WOAH and damage its legitimacy (DAFF employee, interview, 2023</w:t>
      </w:r>
      <w:r w:rsidR="00A60D6C" w:rsidRPr="00167668">
        <w:t>).</w:t>
      </w:r>
    </w:p>
    <w:p w14:paraId="03A9EA7B" w14:textId="53F88E0C" w:rsidR="0049451A" w:rsidRDefault="0049451A">
      <w:pPr>
        <w:spacing w:before="0" w:after="0" w:line="240" w:lineRule="auto"/>
        <w:jc w:val="left"/>
      </w:pPr>
      <w:r>
        <w:br w:type="page"/>
      </w:r>
    </w:p>
    <w:p w14:paraId="3214AD2E" w14:textId="7AEB4A8F" w:rsidR="00D0578D" w:rsidRDefault="00D0578D" w:rsidP="000024FA">
      <w:pPr>
        <w:pStyle w:val="Heading1"/>
      </w:pPr>
      <w:bookmarkStart w:id="66" w:name="_Toc184311755"/>
      <w:bookmarkStart w:id="67" w:name="_Toc206083794"/>
      <w:r>
        <w:lastRenderedPageBreak/>
        <w:t>Quantitative analysis</w:t>
      </w:r>
      <w:r w:rsidR="007F1CA7">
        <w:t xml:space="preserve"> of avoided outcomes</w:t>
      </w:r>
      <w:bookmarkEnd w:id="66"/>
      <w:bookmarkEnd w:id="67"/>
    </w:p>
    <w:p w14:paraId="07786966" w14:textId="7185B89F" w:rsidR="00993562" w:rsidRPr="00167668" w:rsidRDefault="00BA66FE" w:rsidP="00993562">
      <w:r w:rsidRPr="00CD0105">
        <w:rPr>
          <w:rFonts w:eastAsia="Calibri"/>
        </w:rPr>
        <w:t xml:space="preserve">The revised </w:t>
      </w:r>
      <w:r>
        <w:rPr>
          <w:rFonts w:eastAsia="Calibri"/>
        </w:rPr>
        <w:t xml:space="preserve">BSE </w:t>
      </w:r>
      <w:r w:rsidRPr="00CD0105">
        <w:rPr>
          <w:rFonts w:eastAsia="Calibri"/>
        </w:rPr>
        <w:t>chapters were adopted in May 2023</w:t>
      </w:r>
      <w:r w:rsidR="0076279D">
        <w:rPr>
          <w:rFonts w:eastAsia="Calibri"/>
        </w:rPr>
        <w:t xml:space="preserve">. </w:t>
      </w:r>
      <w:r w:rsidR="00F605F8">
        <w:rPr>
          <w:rFonts w:eastAsia="Calibri"/>
        </w:rPr>
        <w:t xml:space="preserve">While </w:t>
      </w:r>
      <w:r w:rsidR="00F605F8" w:rsidRPr="00CD0105">
        <w:rPr>
          <w:rFonts w:eastAsia="Calibri"/>
        </w:rPr>
        <w:t>significant changes</w:t>
      </w:r>
      <w:r w:rsidR="00F605F8">
        <w:rPr>
          <w:rFonts w:eastAsia="Calibri"/>
        </w:rPr>
        <w:t xml:space="preserve"> were introduced</w:t>
      </w:r>
      <w:r w:rsidR="00F605F8" w:rsidRPr="00CD0105">
        <w:rPr>
          <w:rFonts w:eastAsia="Calibri"/>
        </w:rPr>
        <w:t>, most notably in the trade recommendations and criteria for achieving official status</w:t>
      </w:r>
      <w:r w:rsidR="00634CDD">
        <w:rPr>
          <w:rFonts w:eastAsia="Calibri"/>
        </w:rPr>
        <w:t xml:space="preserve">, </w:t>
      </w:r>
      <w:r w:rsidR="00A264C7">
        <w:rPr>
          <w:rFonts w:eastAsia="Calibri"/>
        </w:rPr>
        <w:t xml:space="preserve">Australia ultimately maintained its official </w:t>
      </w:r>
      <w:r w:rsidR="00A264C7" w:rsidRPr="00CE7581">
        <w:rPr>
          <w:rFonts w:eastAsia="Calibri"/>
        </w:rPr>
        <w:t>risk status of ‘negligible’</w:t>
      </w:r>
      <w:r w:rsidR="00A264C7">
        <w:rPr>
          <w:rFonts w:eastAsia="Calibri"/>
        </w:rPr>
        <w:t>.</w:t>
      </w:r>
      <w:r w:rsidR="00A264C7" w:rsidRPr="00CE7581">
        <w:rPr>
          <w:rFonts w:eastAsia="Calibri"/>
        </w:rPr>
        <w:t xml:space="preserve"> </w:t>
      </w:r>
      <w:r w:rsidR="00A264C7" w:rsidRPr="00167668">
        <w:rPr>
          <w:rFonts w:eastAsia="Calibri"/>
        </w:rPr>
        <w:t>However, t</w:t>
      </w:r>
      <w:r w:rsidRPr="00167668">
        <w:t xml:space="preserve">here was a possibility that negative determinations on Australia’s BSE control systems would </w:t>
      </w:r>
      <w:r w:rsidR="00A264C7" w:rsidRPr="00167668">
        <w:t>occur</w:t>
      </w:r>
      <w:r w:rsidRPr="00167668">
        <w:t xml:space="preserve">, at a significant cost to the </w:t>
      </w:r>
      <w:r w:rsidR="005E4A3B" w:rsidRPr="00167668">
        <w:t>Australian</w:t>
      </w:r>
      <w:r w:rsidRPr="00167668">
        <w:t xml:space="preserve"> beef industry. </w:t>
      </w:r>
      <w:r w:rsidR="00400176" w:rsidRPr="00167668">
        <w:t xml:space="preserve">These </w:t>
      </w:r>
      <w:r w:rsidR="00560C45" w:rsidRPr="00167668">
        <w:t xml:space="preserve">negative determinations were discussed in Chapter </w:t>
      </w:r>
      <w:r w:rsidR="0038482D" w:rsidRPr="00167668">
        <w:t>3 and</w:t>
      </w:r>
      <w:r w:rsidR="00552B56" w:rsidRPr="00167668">
        <w:t xml:space="preserve"> were </w:t>
      </w:r>
      <w:r w:rsidR="00560C45" w:rsidRPr="00167668">
        <w:t xml:space="preserve">based on </w:t>
      </w:r>
      <w:r w:rsidR="00516816" w:rsidRPr="00167668">
        <w:t>specific WOAH articles that were considered during the standard revision process</w:t>
      </w:r>
      <w:r w:rsidR="002A470C" w:rsidRPr="00167668">
        <w:t xml:space="preserve">. </w:t>
      </w:r>
      <w:r w:rsidR="00437D5B" w:rsidRPr="00167668">
        <w:t xml:space="preserve">The </w:t>
      </w:r>
      <w:r w:rsidR="002D4973" w:rsidRPr="00167668">
        <w:t xml:space="preserve">four </w:t>
      </w:r>
      <w:r w:rsidR="006954A8" w:rsidRPr="00167668">
        <w:t xml:space="preserve">plausible negative </w:t>
      </w:r>
      <w:r w:rsidR="00437D5B" w:rsidRPr="00167668">
        <w:t>outcomes</w:t>
      </w:r>
      <w:r w:rsidR="00A264C7" w:rsidRPr="00167668">
        <w:t xml:space="preserve"> </w:t>
      </w:r>
      <w:bookmarkStart w:id="68" w:name="_Hlk185254374"/>
      <w:r w:rsidR="00437D5B" w:rsidRPr="00167668">
        <w:t>are summarised as</w:t>
      </w:r>
      <w:r w:rsidRPr="00167668">
        <w:t>:</w:t>
      </w:r>
      <w:r w:rsidR="00634CDD" w:rsidRPr="00167668">
        <w:t xml:space="preserve"> </w:t>
      </w:r>
    </w:p>
    <w:p w14:paraId="5E9BC16E" w14:textId="0FC2401B" w:rsidR="00BA66FE" w:rsidRPr="00167668" w:rsidRDefault="00BA66FE" w:rsidP="00CE7581">
      <w:pPr>
        <w:pStyle w:val="ListParagraph"/>
        <w:numPr>
          <w:ilvl w:val="0"/>
          <w:numId w:val="20"/>
        </w:numPr>
        <w:ind w:left="714" w:hanging="357"/>
        <w:contextualSpacing w:val="0"/>
      </w:pPr>
      <w:r w:rsidRPr="00167668">
        <w:t xml:space="preserve">Loss of </w:t>
      </w:r>
      <w:r w:rsidR="00EC498A" w:rsidRPr="00167668">
        <w:t>negligible</w:t>
      </w:r>
      <w:r w:rsidRPr="00167668">
        <w:t xml:space="preserve"> risk status</w:t>
      </w:r>
    </w:p>
    <w:p w14:paraId="0597BB93" w14:textId="3CCFEFA2" w:rsidR="00CE7581" w:rsidRPr="00167668" w:rsidRDefault="00CE7581" w:rsidP="00CE7581">
      <w:pPr>
        <w:pStyle w:val="ListParagraph"/>
        <w:numPr>
          <w:ilvl w:val="0"/>
          <w:numId w:val="20"/>
        </w:numPr>
        <w:ind w:left="714" w:hanging="357"/>
        <w:contextualSpacing w:val="0"/>
      </w:pPr>
      <w:r w:rsidRPr="00167668">
        <w:t>SRM removal mandated from human and animal export chain</w:t>
      </w:r>
      <w:r w:rsidR="001B0008" w:rsidRPr="00167668">
        <w:t>s</w:t>
      </w:r>
    </w:p>
    <w:p w14:paraId="3C4FF2AE" w14:textId="1370CF45" w:rsidR="00CE7581" w:rsidRPr="00167668" w:rsidRDefault="00CE7581" w:rsidP="00CE7581">
      <w:pPr>
        <w:pStyle w:val="ListParagraph"/>
        <w:numPr>
          <w:ilvl w:val="0"/>
          <w:numId w:val="20"/>
        </w:numPr>
        <w:ind w:left="714" w:hanging="357"/>
        <w:contextualSpacing w:val="0"/>
      </w:pPr>
      <w:r w:rsidRPr="00167668">
        <w:t>High pressure production mandated for Australian rendered meals</w:t>
      </w:r>
    </w:p>
    <w:p w14:paraId="10FA5020" w14:textId="1E6E8EB3" w:rsidR="00CE7581" w:rsidRPr="00167668" w:rsidRDefault="00CE7581" w:rsidP="00CE7581">
      <w:pPr>
        <w:pStyle w:val="ListParagraph"/>
        <w:numPr>
          <w:ilvl w:val="0"/>
          <w:numId w:val="20"/>
        </w:numPr>
        <w:ind w:left="714" w:hanging="357"/>
        <w:contextualSpacing w:val="0"/>
      </w:pPr>
      <w:r w:rsidRPr="00167668">
        <w:t>Dedicated feed lines are mandated for the production of ruminant feed</w:t>
      </w:r>
    </w:p>
    <w:bookmarkEnd w:id="68"/>
    <w:p w14:paraId="75DB8205" w14:textId="3F856966" w:rsidR="00C35C81" w:rsidRPr="00167668" w:rsidRDefault="00C35C81" w:rsidP="00D052DD">
      <w:pPr>
        <w:rPr>
          <w:rFonts w:eastAsia="Calibri"/>
        </w:rPr>
      </w:pPr>
      <w:r w:rsidRPr="00167668">
        <w:rPr>
          <w:rFonts w:eastAsia="Calibri"/>
        </w:rPr>
        <w:t xml:space="preserve">Fortunately for Australia, and because of the engagement with the WOAH (See Section 4), these four negative outcomes were avoided. </w:t>
      </w:r>
    </w:p>
    <w:p w14:paraId="184C25EB" w14:textId="69C4C2E4" w:rsidR="00CE7581" w:rsidRPr="00167668" w:rsidRDefault="0004130E" w:rsidP="00CE7581">
      <w:pPr>
        <w:rPr>
          <w:rFonts w:eastAsia="Calibri"/>
        </w:rPr>
      </w:pPr>
      <w:r w:rsidRPr="00167668">
        <w:t xml:space="preserve">A counterfactual approach is used to analyse the impacts of </w:t>
      </w:r>
      <w:r w:rsidR="006028C1" w:rsidRPr="00167668">
        <w:t xml:space="preserve">the </w:t>
      </w:r>
      <w:r w:rsidRPr="00167668">
        <w:t>potential negative outcomes</w:t>
      </w:r>
      <w:r w:rsidR="0038482D" w:rsidRPr="00167668">
        <w:t>. E</w:t>
      </w:r>
      <w:r w:rsidR="00B00F3B" w:rsidRPr="00167668">
        <w:t xml:space="preserve">ach </w:t>
      </w:r>
      <w:r w:rsidRPr="00167668">
        <w:t xml:space="preserve">was evaluated in terms of costs and benefits. </w:t>
      </w:r>
      <w:r w:rsidR="005A40C1" w:rsidRPr="00167668">
        <w:rPr>
          <w:rFonts w:eastAsia="Calibri"/>
        </w:rPr>
        <w:t>T</w:t>
      </w:r>
      <w:r w:rsidR="002B1010" w:rsidRPr="00167668">
        <w:rPr>
          <w:rFonts w:eastAsia="Calibri"/>
        </w:rPr>
        <w:t>he monetary value of the avoided impact</w:t>
      </w:r>
      <w:r w:rsidR="00AF7264" w:rsidRPr="00167668">
        <w:rPr>
          <w:rFonts w:eastAsia="Calibri"/>
        </w:rPr>
        <w:t>s</w:t>
      </w:r>
      <w:r w:rsidR="002B1010" w:rsidRPr="00167668">
        <w:rPr>
          <w:rFonts w:eastAsia="Calibri"/>
        </w:rPr>
        <w:t xml:space="preserve"> </w:t>
      </w:r>
      <w:r w:rsidR="003534D8" w:rsidRPr="00167668">
        <w:rPr>
          <w:rFonts w:eastAsia="Calibri"/>
        </w:rPr>
        <w:t>represents</w:t>
      </w:r>
      <w:r w:rsidR="002B1010" w:rsidRPr="00167668">
        <w:rPr>
          <w:rFonts w:eastAsia="Calibri"/>
        </w:rPr>
        <w:t xml:space="preserve"> the benefit of engagement in ISS related to BSE. </w:t>
      </w:r>
      <w:r w:rsidR="004B48F6" w:rsidRPr="00167668">
        <w:rPr>
          <w:rFonts w:eastAsia="Calibri"/>
        </w:rPr>
        <w:t>The</w:t>
      </w:r>
      <w:r w:rsidR="00373C2F" w:rsidRPr="00167668">
        <w:rPr>
          <w:rFonts w:eastAsia="Calibri"/>
        </w:rPr>
        <w:t xml:space="preserve"> costs of international engagement in the BSE standard setting process </w:t>
      </w:r>
      <w:r w:rsidR="005E1830" w:rsidRPr="00167668">
        <w:rPr>
          <w:rFonts w:eastAsia="Calibri"/>
        </w:rPr>
        <w:t>include annual WOAH membership fees</w:t>
      </w:r>
      <w:r w:rsidR="007759CD" w:rsidRPr="00167668">
        <w:rPr>
          <w:rFonts w:eastAsia="Calibri"/>
        </w:rPr>
        <w:t>,</w:t>
      </w:r>
      <w:r w:rsidR="005E1830" w:rsidRPr="00167668">
        <w:rPr>
          <w:rFonts w:eastAsia="Calibri"/>
        </w:rPr>
        <w:t xml:space="preserve"> and voluntary </w:t>
      </w:r>
      <w:r w:rsidR="007759CD" w:rsidRPr="00167668">
        <w:rPr>
          <w:rFonts w:eastAsia="Calibri"/>
        </w:rPr>
        <w:t xml:space="preserve">contributions </w:t>
      </w:r>
      <w:r w:rsidR="005E1830" w:rsidRPr="00167668">
        <w:rPr>
          <w:rFonts w:eastAsia="Calibri"/>
        </w:rPr>
        <w:t>to WOAH</w:t>
      </w:r>
      <w:r w:rsidR="007759CD" w:rsidRPr="00167668">
        <w:rPr>
          <w:rFonts w:eastAsia="Calibri"/>
        </w:rPr>
        <w:t xml:space="preserve">, </w:t>
      </w:r>
      <w:r w:rsidR="005A77F6" w:rsidRPr="00167668">
        <w:rPr>
          <w:rFonts w:eastAsia="Calibri"/>
        </w:rPr>
        <w:t xml:space="preserve">annual salaries of </w:t>
      </w:r>
      <w:r w:rsidR="007759CD" w:rsidRPr="00167668">
        <w:rPr>
          <w:rFonts w:eastAsia="Calibri"/>
        </w:rPr>
        <w:t xml:space="preserve">DAFF staff and </w:t>
      </w:r>
      <w:r w:rsidR="005A77F6" w:rsidRPr="00167668">
        <w:rPr>
          <w:rFonts w:eastAsia="Calibri"/>
        </w:rPr>
        <w:t xml:space="preserve">DAFF </w:t>
      </w:r>
      <w:r w:rsidR="007759CD" w:rsidRPr="00167668">
        <w:rPr>
          <w:rFonts w:eastAsia="Calibri"/>
        </w:rPr>
        <w:t>travel costs</w:t>
      </w:r>
      <w:r w:rsidR="002B1010" w:rsidRPr="00167668">
        <w:rPr>
          <w:rFonts w:eastAsia="Calibri"/>
        </w:rPr>
        <w:t xml:space="preserve">. </w:t>
      </w:r>
    </w:p>
    <w:p w14:paraId="5EAD2580" w14:textId="72F010F3" w:rsidR="0023669F" w:rsidRPr="00167668" w:rsidRDefault="00F65DC1" w:rsidP="0023669F">
      <w:pPr>
        <w:rPr>
          <w:rFonts w:eastAsia="Calibri"/>
        </w:rPr>
      </w:pPr>
      <w:r w:rsidRPr="00167668">
        <w:rPr>
          <w:rFonts w:eastAsia="Calibri"/>
        </w:rPr>
        <w:t>I</w:t>
      </w:r>
      <w:r w:rsidR="003061F9" w:rsidRPr="00167668">
        <w:rPr>
          <w:rFonts w:eastAsia="Calibri"/>
        </w:rPr>
        <w:t xml:space="preserve">t is important to </w:t>
      </w:r>
      <w:r w:rsidR="00783668" w:rsidRPr="00167668">
        <w:rPr>
          <w:rFonts w:eastAsia="Calibri"/>
        </w:rPr>
        <w:t xml:space="preserve">acknowledge that </w:t>
      </w:r>
      <w:r w:rsidR="002A1BC9" w:rsidRPr="00167668">
        <w:rPr>
          <w:rFonts w:eastAsia="Calibri"/>
        </w:rPr>
        <w:t>developing counterfactual scenarios</w:t>
      </w:r>
      <w:r w:rsidR="00783668" w:rsidRPr="00167668">
        <w:rPr>
          <w:rFonts w:eastAsia="Calibri"/>
        </w:rPr>
        <w:t xml:space="preserve"> inherently involves uncertainty</w:t>
      </w:r>
      <w:r w:rsidR="005A3C21" w:rsidRPr="00167668">
        <w:rPr>
          <w:rFonts w:eastAsia="Calibri"/>
        </w:rPr>
        <w:t>—w</w:t>
      </w:r>
      <w:r w:rsidR="00E1178A" w:rsidRPr="00167668">
        <w:rPr>
          <w:rFonts w:eastAsia="Calibri"/>
        </w:rPr>
        <w:t>hile</w:t>
      </w:r>
      <w:r w:rsidR="00F7043B" w:rsidRPr="00167668">
        <w:rPr>
          <w:rFonts w:eastAsia="Calibri"/>
        </w:rPr>
        <w:t xml:space="preserve"> the actual proposed changes to the BSE standards, Australia’s documented engagement</w:t>
      </w:r>
      <w:r w:rsidR="003E787A" w:rsidRPr="00167668">
        <w:rPr>
          <w:rFonts w:eastAsia="Calibri"/>
        </w:rPr>
        <w:t>,</w:t>
      </w:r>
      <w:r w:rsidR="00F7043B" w:rsidRPr="00167668">
        <w:rPr>
          <w:rFonts w:eastAsia="Calibri"/>
        </w:rPr>
        <w:t xml:space="preserve"> and the successful outcome for Australia are known facts, </w:t>
      </w:r>
      <w:r w:rsidR="003E787A" w:rsidRPr="00167668">
        <w:rPr>
          <w:rFonts w:eastAsia="Calibri"/>
        </w:rPr>
        <w:t xml:space="preserve">the precise pathways and specific impacts of these four plausible negative outcomes, had they occurred, required estimation. </w:t>
      </w:r>
      <w:r w:rsidR="00A75ABA" w:rsidRPr="00167668">
        <w:rPr>
          <w:rFonts w:eastAsia="Calibri"/>
        </w:rPr>
        <w:t>For each outcome</w:t>
      </w:r>
      <w:r w:rsidR="00290C56" w:rsidRPr="00167668">
        <w:rPr>
          <w:rFonts w:eastAsia="Calibri"/>
        </w:rPr>
        <w:t>,</w:t>
      </w:r>
      <w:r w:rsidR="00A75ABA" w:rsidRPr="00167668">
        <w:rPr>
          <w:rFonts w:eastAsia="Calibri"/>
        </w:rPr>
        <w:t xml:space="preserve"> </w:t>
      </w:r>
      <w:r w:rsidR="001F55CB" w:rsidRPr="00167668">
        <w:rPr>
          <w:rFonts w:eastAsia="Calibri"/>
        </w:rPr>
        <w:t xml:space="preserve">we estimated the economic consequences </w:t>
      </w:r>
      <w:r w:rsidR="0023669F" w:rsidRPr="00167668">
        <w:rPr>
          <w:rFonts w:eastAsia="Calibri"/>
        </w:rPr>
        <w:t xml:space="preserve">(e.g., market access restrictions, additional processing costs, </w:t>
      </w:r>
      <w:r w:rsidR="00EE1B97" w:rsidRPr="00167668">
        <w:rPr>
          <w:rFonts w:eastAsia="Calibri"/>
        </w:rPr>
        <w:t>and</w:t>
      </w:r>
      <w:r w:rsidR="0023669F" w:rsidRPr="00167668">
        <w:rPr>
          <w:rFonts w:eastAsia="Calibri"/>
        </w:rPr>
        <w:t xml:space="preserve"> changes in trade volumes) based on </w:t>
      </w:r>
      <w:r w:rsidR="008161FD" w:rsidRPr="00167668">
        <w:rPr>
          <w:rFonts w:eastAsia="Calibri"/>
        </w:rPr>
        <w:t xml:space="preserve">historical trade data, </w:t>
      </w:r>
      <w:r w:rsidR="00290C56" w:rsidRPr="00167668">
        <w:rPr>
          <w:rFonts w:eastAsia="Calibri"/>
        </w:rPr>
        <w:t xml:space="preserve">and </w:t>
      </w:r>
      <w:r w:rsidR="008161FD" w:rsidRPr="00167668">
        <w:rPr>
          <w:rFonts w:eastAsia="Calibri"/>
        </w:rPr>
        <w:t>consultation with relevant government and industry bodies</w:t>
      </w:r>
      <w:r w:rsidR="00D04445" w:rsidRPr="00167668">
        <w:rPr>
          <w:rFonts w:eastAsia="Calibri"/>
        </w:rPr>
        <w:t xml:space="preserve">. </w:t>
      </w:r>
      <w:r w:rsidR="0011583C" w:rsidRPr="00167668">
        <w:rPr>
          <w:rFonts w:eastAsia="Calibri"/>
        </w:rPr>
        <w:t xml:space="preserve">While our financial analysis is intentionally simple and does not involve complex </w:t>
      </w:r>
      <w:r w:rsidR="008C2E86" w:rsidRPr="00167668">
        <w:rPr>
          <w:rFonts w:eastAsia="Calibri"/>
        </w:rPr>
        <w:t xml:space="preserve">general or partial equilibrium </w:t>
      </w:r>
      <w:r w:rsidR="0011583C" w:rsidRPr="00167668">
        <w:rPr>
          <w:rFonts w:eastAsia="Calibri"/>
        </w:rPr>
        <w:t xml:space="preserve">trade modelling, </w:t>
      </w:r>
      <w:r w:rsidR="008C2E86" w:rsidRPr="00167668">
        <w:rPr>
          <w:rFonts w:eastAsia="Calibri"/>
        </w:rPr>
        <w:t>our</w:t>
      </w:r>
      <w:r w:rsidR="0011583C" w:rsidRPr="00167668">
        <w:rPr>
          <w:rFonts w:eastAsia="Calibri"/>
        </w:rPr>
        <w:t xml:space="preserve"> approach to constructing and evaluating counterfactual scenarios </w:t>
      </w:r>
      <w:r w:rsidR="002A09E4" w:rsidRPr="00167668">
        <w:rPr>
          <w:rFonts w:eastAsia="Calibri"/>
        </w:rPr>
        <w:t xml:space="preserve">is </w:t>
      </w:r>
      <w:r w:rsidR="006E5192" w:rsidRPr="00167668">
        <w:rPr>
          <w:rFonts w:eastAsia="Calibri"/>
        </w:rPr>
        <w:t>grounded in the literature</w:t>
      </w:r>
      <w:r w:rsidR="007C2B7A" w:rsidRPr="00167668">
        <w:rPr>
          <w:rFonts w:eastAsia="Calibri"/>
        </w:rPr>
        <w:t xml:space="preserve"> (e.g. </w:t>
      </w:r>
      <w:r w:rsidR="00800CFD" w:rsidRPr="00167668">
        <w:rPr>
          <w:rFonts w:eastAsia="Calibri"/>
        </w:rPr>
        <w:t>Nordblom 2003, Spring et al. 2023)</w:t>
      </w:r>
      <w:r w:rsidR="0011583C" w:rsidRPr="00167668">
        <w:rPr>
          <w:rFonts w:eastAsia="Calibri"/>
        </w:rPr>
        <w:t xml:space="preserve">. </w:t>
      </w:r>
    </w:p>
    <w:p w14:paraId="57A2219F" w14:textId="4141EEEE" w:rsidR="001D32B2" w:rsidRDefault="00D04445" w:rsidP="006954A8">
      <w:pPr>
        <w:rPr>
          <w:rFonts w:eastAsia="Calibri"/>
        </w:rPr>
      </w:pPr>
      <w:r w:rsidRPr="00167668">
        <w:rPr>
          <w:rFonts w:eastAsia="Calibri"/>
        </w:rPr>
        <w:t xml:space="preserve">In calculating the direct costs and benefits of ISS for each of the outcomes, </w:t>
      </w:r>
      <w:r w:rsidR="001D4E00" w:rsidRPr="00167668">
        <w:rPr>
          <w:rFonts w:eastAsia="Calibri"/>
        </w:rPr>
        <w:t xml:space="preserve">it was necessary to make a range of assumptions </w:t>
      </w:r>
      <w:r w:rsidR="002A09E4" w:rsidRPr="00167668">
        <w:rPr>
          <w:rFonts w:eastAsia="Calibri"/>
        </w:rPr>
        <w:t>around the</w:t>
      </w:r>
      <w:r w:rsidR="001D4E00" w:rsidRPr="00167668">
        <w:rPr>
          <w:rFonts w:eastAsia="Calibri"/>
        </w:rPr>
        <w:t xml:space="preserve"> data used </w:t>
      </w:r>
      <w:r w:rsidR="00690827" w:rsidRPr="00167668">
        <w:rPr>
          <w:rFonts w:eastAsia="Calibri"/>
        </w:rPr>
        <w:t>in</w:t>
      </w:r>
      <w:r w:rsidR="001D4E00" w:rsidRPr="00167668">
        <w:rPr>
          <w:rFonts w:eastAsia="Calibri"/>
        </w:rPr>
        <w:t xml:space="preserve"> estimat</w:t>
      </w:r>
      <w:r w:rsidR="00690827" w:rsidRPr="00167668">
        <w:rPr>
          <w:rFonts w:eastAsia="Calibri"/>
        </w:rPr>
        <w:t>ing the</w:t>
      </w:r>
      <w:r w:rsidR="001D4E00" w:rsidRPr="00167668">
        <w:rPr>
          <w:rFonts w:eastAsia="Calibri"/>
        </w:rPr>
        <w:t xml:space="preserve"> avoided outcomes (Section 5.1). The methodology </w:t>
      </w:r>
      <w:r w:rsidR="009C5397" w:rsidRPr="00167668">
        <w:rPr>
          <w:rFonts w:eastAsia="Calibri"/>
        </w:rPr>
        <w:t xml:space="preserve">used </w:t>
      </w:r>
      <w:r w:rsidR="00C3489B" w:rsidRPr="00167668">
        <w:rPr>
          <w:rFonts w:eastAsia="Calibri"/>
        </w:rPr>
        <w:t>in the analysis (</w:t>
      </w:r>
      <w:r w:rsidR="009C5397" w:rsidRPr="00167668">
        <w:rPr>
          <w:rFonts w:eastAsia="Calibri"/>
        </w:rPr>
        <w:t>Appendix A</w:t>
      </w:r>
      <w:r w:rsidR="00C3489B" w:rsidRPr="00167668">
        <w:rPr>
          <w:rFonts w:eastAsia="Calibri"/>
        </w:rPr>
        <w:t xml:space="preserve">) </w:t>
      </w:r>
      <w:r w:rsidR="001E416C" w:rsidRPr="00167668">
        <w:rPr>
          <w:rFonts w:eastAsia="Calibri"/>
        </w:rPr>
        <w:t>adapts the framework of</w:t>
      </w:r>
      <w:r w:rsidR="001D4E00" w:rsidRPr="00167668">
        <w:rPr>
          <w:rFonts w:eastAsia="Calibri"/>
        </w:rPr>
        <w:t xml:space="preserve"> Probs et al. (2013) who calculate the direct costs of BSE control measures in Germany. Results are given in Section 5.2.</w:t>
      </w:r>
    </w:p>
    <w:p w14:paraId="1977F9EE" w14:textId="77777777" w:rsidR="001D32B2" w:rsidRDefault="001D32B2">
      <w:pPr>
        <w:spacing w:before="0" w:after="0" w:line="240" w:lineRule="auto"/>
        <w:jc w:val="left"/>
        <w:rPr>
          <w:rFonts w:eastAsia="Calibri"/>
        </w:rPr>
      </w:pPr>
      <w:r>
        <w:rPr>
          <w:rFonts w:eastAsia="Calibri"/>
        </w:rPr>
        <w:br w:type="page"/>
      </w:r>
    </w:p>
    <w:p w14:paraId="492E2FF6" w14:textId="24E10320" w:rsidR="00CE7581" w:rsidRDefault="002B1010" w:rsidP="00545B20">
      <w:pPr>
        <w:pStyle w:val="Heading2"/>
      </w:pPr>
      <w:bookmarkStart w:id="69" w:name="_Toc205981430"/>
      <w:bookmarkStart w:id="70" w:name="_Toc206083795"/>
      <w:bookmarkStart w:id="71" w:name="_Toc184311756"/>
      <w:bookmarkEnd w:id="69"/>
      <w:r>
        <w:lastRenderedPageBreak/>
        <w:t>Assumptions</w:t>
      </w:r>
      <w:r w:rsidR="00C4750C">
        <w:t xml:space="preserve"> and data</w:t>
      </w:r>
      <w:bookmarkEnd w:id="70"/>
      <w:r w:rsidR="005E4A3B">
        <w:t xml:space="preserve"> </w:t>
      </w:r>
      <w:bookmarkEnd w:id="71"/>
    </w:p>
    <w:p w14:paraId="7ADF535F" w14:textId="4DD8D11F" w:rsidR="007F1CA7" w:rsidRDefault="007F1CA7" w:rsidP="002E5846">
      <w:pPr>
        <w:pStyle w:val="Heading3"/>
      </w:pPr>
      <w:r>
        <w:t>Costs of engagement</w:t>
      </w:r>
    </w:p>
    <w:p w14:paraId="7A48C2A2" w14:textId="06DADD93" w:rsidR="001C5AAE" w:rsidRDefault="001C5AAE" w:rsidP="00D47C3A">
      <w:r>
        <w:t xml:space="preserve">Engagement in ISS in any given year involves two consultation cycles on draft international standards conducted by WOAH, </w:t>
      </w:r>
      <w:r w:rsidR="00031BE9">
        <w:t>voting on standards at the General Session, and participation in other WOAH forums (e.g. Regional Commission meetings) to share positions. Australia’s position on all terrestrial animal health standards is coordinated by the Australian Government.</w:t>
      </w:r>
      <w:r w:rsidR="00031BE9" w:rsidRPr="00031BE9">
        <w:t xml:space="preserve"> </w:t>
      </w:r>
      <w:r w:rsidR="00031BE9">
        <w:t xml:space="preserve">While there was extensive focus by Australia on the proposed BSE standards between 2019 to 2023, this constituted one matter in a broader range of animal health standards out for consultation. Therefore, analysis of resources dedicated to BSE standards and status assessment was not deemed necessary and would require significant effort. </w:t>
      </w:r>
    </w:p>
    <w:p w14:paraId="4D4F1384" w14:textId="79BE2F5B" w:rsidR="00697A0A" w:rsidRDefault="00F55365" w:rsidP="002F5891">
      <w:r>
        <w:t xml:space="preserve">The </w:t>
      </w:r>
      <w:r w:rsidR="00B923A5">
        <w:t xml:space="preserve">annual </w:t>
      </w:r>
      <w:r>
        <w:t xml:space="preserve">costs of engagement in </w:t>
      </w:r>
      <w:r w:rsidR="00B923A5">
        <w:t>ISS</w:t>
      </w:r>
      <w:r>
        <w:t xml:space="preserve"> </w:t>
      </w:r>
      <w:r w:rsidR="00697A0A">
        <w:t>will include the following:</w:t>
      </w:r>
    </w:p>
    <w:p w14:paraId="2BCD43AD" w14:textId="77777777" w:rsidR="00B81D3C" w:rsidRDefault="00B81D3C" w:rsidP="00B81D3C">
      <w:pPr>
        <w:pStyle w:val="ListParagraph"/>
        <w:numPr>
          <w:ilvl w:val="0"/>
          <w:numId w:val="19"/>
        </w:numPr>
      </w:pPr>
      <w:r>
        <w:t>Australia’s statutory contributions as a Member of WOAH.</w:t>
      </w:r>
    </w:p>
    <w:p w14:paraId="5D8A5FF0" w14:textId="36217AB9" w:rsidR="00495253" w:rsidRDefault="00495253" w:rsidP="00697A0A">
      <w:pPr>
        <w:pStyle w:val="ListParagraph"/>
        <w:numPr>
          <w:ilvl w:val="0"/>
          <w:numId w:val="19"/>
        </w:numPr>
      </w:pPr>
      <w:r>
        <w:t xml:space="preserve">Travel for </w:t>
      </w:r>
      <w:r w:rsidR="00DF11A5">
        <w:t xml:space="preserve">an </w:t>
      </w:r>
      <w:r>
        <w:t xml:space="preserve">Australian </w:t>
      </w:r>
      <w:r w:rsidR="00DF11A5">
        <w:t xml:space="preserve">delegation </w:t>
      </w:r>
      <w:r>
        <w:t xml:space="preserve">to attend the </w:t>
      </w:r>
      <w:r w:rsidR="006D7AE0">
        <w:t xml:space="preserve">annual </w:t>
      </w:r>
      <w:r>
        <w:t>General Session of WOAH</w:t>
      </w:r>
      <w:r w:rsidR="00FC29C7">
        <w:t>.</w:t>
      </w:r>
    </w:p>
    <w:p w14:paraId="2427CFEB" w14:textId="61CD269F" w:rsidR="00EF25FE" w:rsidRPr="00167668" w:rsidRDefault="00EF25FE" w:rsidP="00EF25FE">
      <w:pPr>
        <w:pStyle w:val="ListParagraph"/>
        <w:numPr>
          <w:ilvl w:val="0"/>
          <w:numId w:val="19"/>
        </w:numPr>
      </w:pPr>
      <w:r>
        <w:t xml:space="preserve">Australia’s </w:t>
      </w:r>
      <w:r w:rsidR="0047717D">
        <w:t xml:space="preserve">annual </w:t>
      </w:r>
      <w:r>
        <w:t>voluntary contributions (from DAFF and DFAT</w:t>
      </w:r>
      <w:r w:rsidR="00517983">
        <w:t>; in the form of multi-year agreements</w:t>
      </w:r>
      <w:r>
        <w:t>) to WOAH’s World Fund</w:t>
      </w:r>
      <w:r w:rsidR="00317747">
        <w:t xml:space="preserve">; </w:t>
      </w:r>
      <w:r w:rsidR="00BF66EB">
        <w:t xml:space="preserve">indexed for inflation and </w:t>
      </w:r>
      <w:r w:rsidR="00126E5F" w:rsidRPr="00167668">
        <w:t>averaged</w:t>
      </w:r>
      <w:r w:rsidR="0047717D" w:rsidRPr="00167668">
        <w:t xml:space="preserve"> </w:t>
      </w:r>
      <w:r w:rsidR="00126E5F" w:rsidRPr="00167668">
        <w:t>over 201</w:t>
      </w:r>
      <w:r w:rsidR="00A54198" w:rsidRPr="00167668">
        <w:t>9</w:t>
      </w:r>
      <w:r w:rsidR="00126E5F" w:rsidRPr="00167668">
        <w:t>-2023.</w:t>
      </w:r>
      <w:r w:rsidR="0047717D" w:rsidRPr="00167668">
        <w:t xml:space="preserve"> </w:t>
      </w:r>
    </w:p>
    <w:p w14:paraId="543EEFEC" w14:textId="17E4A66F" w:rsidR="00EB1CA6" w:rsidRPr="00167668" w:rsidRDefault="00B121EF" w:rsidP="00EF25FE">
      <w:pPr>
        <w:pStyle w:val="ListParagraph"/>
        <w:numPr>
          <w:ilvl w:val="0"/>
          <w:numId w:val="19"/>
        </w:numPr>
      </w:pPr>
      <w:r w:rsidRPr="00167668">
        <w:t xml:space="preserve">DAFF </w:t>
      </w:r>
      <w:r w:rsidR="005432C9" w:rsidRPr="00167668">
        <w:t xml:space="preserve">salary costs associated with </w:t>
      </w:r>
      <w:r w:rsidR="00213633" w:rsidRPr="00167668">
        <w:t>BSE</w:t>
      </w:r>
      <w:r w:rsidR="0020681E" w:rsidRPr="00167668">
        <w:t>-related work.</w:t>
      </w:r>
    </w:p>
    <w:p w14:paraId="7E202049" w14:textId="727EF7BF" w:rsidR="00A64D0C" w:rsidRPr="00167668" w:rsidRDefault="00E3016D" w:rsidP="00F265A0">
      <w:pPr>
        <w:rPr>
          <w:rFonts w:eastAsia="Calibri"/>
        </w:rPr>
      </w:pPr>
      <w:r w:rsidRPr="00167668">
        <w:t>The</w:t>
      </w:r>
      <w:r w:rsidR="004636E6" w:rsidRPr="00167668">
        <w:t xml:space="preserve"> cost of DAFF staff </w:t>
      </w:r>
      <w:r w:rsidR="003821C9" w:rsidRPr="00167668">
        <w:rPr>
          <w:rFonts w:eastAsia="Calibri"/>
        </w:rPr>
        <w:t xml:space="preserve">to travel overseas </w:t>
      </w:r>
      <w:r w:rsidR="006D7AE0" w:rsidRPr="00167668">
        <w:rPr>
          <w:rFonts w:eastAsia="Calibri"/>
        </w:rPr>
        <w:t>to</w:t>
      </w:r>
      <w:r w:rsidRPr="00167668">
        <w:rPr>
          <w:rFonts w:eastAsia="Calibri"/>
        </w:rPr>
        <w:t xml:space="preserve"> attend</w:t>
      </w:r>
      <w:r w:rsidR="003821C9" w:rsidRPr="00167668">
        <w:rPr>
          <w:rFonts w:eastAsia="Calibri"/>
        </w:rPr>
        <w:t xml:space="preserve"> </w:t>
      </w:r>
      <w:r w:rsidR="006D7AE0" w:rsidRPr="00167668">
        <w:rPr>
          <w:rFonts w:eastAsia="Calibri"/>
        </w:rPr>
        <w:t xml:space="preserve">the General Session of </w:t>
      </w:r>
      <w:r w:rsidR="003821C9" w:rsidRPr="00167668">
        <w:rPr>
          <w:rFonts w:eastAsia="Calibri"/>
        </w:rPr>
        <w:t>WOAH meeting</w:t>
      </w:r>
      <w:r w:rsidR="006D7AE0" w:rsidRPr="00167668">
        <w:rPr>
          <w:rFonts w:eastAsia="Calibri"/>
        </w:rPr>
        <w:t xml:space="preserve"> </w:t>
      </w:r>
      <w:r w:rsidR="009201DC" w:rsidRPr="00167668">
        <w:rPr>
          <w:rFonts w:eastAsia="Calibri"/>
        </w:rPr>
        <w:t>are</w:t>
      </w:r>
      <w:r w:rsidR="006D7AE0" w:rsidRPr="00167668">
        <w:rPr>
          <w:rFonts w:eastAsia="Calibri"/>
        </w:rPr>
        <w:t xml:space="preserve"> included</w:t>
      </w:r>
      <w:r w:rsidR="009201DC" w:rsidRPr="00167668">
        <w:rPr>
          <w:rFonts w:eastAsia="Calibri"/>
        </w:rPr>
        <w:t xml:space="preserve"> in cost calculations</w:t>
      </w:r>
      <w:r w:rsidR="006D7AE0" w:rsidRPr="00167668">
        <w:rPr>
          <w:rFonts w:eastAsia="Calibri"/>
        </w:rPr>
        <w:t xml:space="preserve">. </w:t>
      </w:r>
      <w:r w:rsidR="00F1361E" w:rsidRPr="00167668">
        <w:rPr>
          <w:rFonts w:eastAsia="Calibri"/>
        </w:rPr>
        <w:t xml:space="preserve">In recent years due to COVID and </w:t>
      </w:r>
      <w:r w:rsidR="005573F4" w:rsidRPr="00167668">
        <w:rPr>
          <w:rFonts w:eastAsia="Calibri"/>
        </w:rPr>
        <w:t xml:space="preserve">budget limitations, </w:t>
      </w:r>
      <w:r w:rsidR="009201DC" w:rsidRPr="00167668">
        <w:rPr>
          <w:rFonts w:eastAsia="Calibri"/>
        </w:rPr>
        <w:t>this</w:t>
      </w:r>
      <w:r w:rsidR="00021253" w:rsidRPr="00167668">
        <w:rPr>
          <w:rFonts w:eastAsia="Calibri"/>
        </w:rPr>
        <w:t xml:space="preserve"> </w:t>
      </w:r>
      <w:r w:rsidR="005573F4" w:rsidRPr="00167668">
        <w:rPr>
          <w:rFonts w:eastAsia="Calibri"/>
        </w:rPr>
        <w:t xml:space="preserve">has </w:t>
      </w:r>
      <w:r w:rsidR="00021253" w:rsidRPr="00167668">
        <w:rPr>
          <w:rFonts w:eastAsia="Calibri"/>
        </w:rPr>
        <w:t>involve</w:t>
      </w:r>
      <w:r w:rsidR="005573F4" w:rsidRPr="00167668">
        <w:rPr>
          <w:rFonts w:eastAsia="Calibri"/>
        </w:rPr>
        <w:t>d around</w:t>
      </w:r>
      <w:r w:rsidR="00021253" w:rsidRPr="00167668">
        <w:rPr>
          <w:rFonts w:eastAsia="Calibri"/>
        </w:rPr>
        <w:t xml:space="preserve"> three staff </w:t>
      </w:r>
      <w:r w:rsidR="00080278" w:rsidRPr="00167668">
        <w:rPr>
          <w:rFonts w:eastAsia="Calibri"/>
        </w:rPr>
        <w:t xml:space="preserve">travelling to </w:t>
      </w:r>
      <w:r w:rsidR="005573F4" w:rsidRPr="00167668">
        <w:rPr>
          <w:rFonts w:eastAsia="Calibri"/>
        </w:rPr>
        <w:t xml:space="preserve">Paris </w:t>
      </w:r>
      <w:r w:rsidR="00080278" w:rsidRPr="00167668">
        <w:rPr>
          <w:rFonts w:eastAsia="Calibri"/>
        </w:rPr>
        <w:t xml:space="preserve">for a week </w:t>
      </w:r>
      <w:r w:rsidR="00C3099D" w:rsidRPr="00167668">
        <w:rPr>
          <w:rFonts w:eastAsia="Calibri"/>
        </w:rPr>
        <w:t>each year</w:t>
      </w:r>
      <w:r w:rsidR="00080278" w:rsidRPr="00167668">
        <w:rPr>
          <w:rFonts w:eastAsia="Calibri"/>
        </w:rPr>
        <w:t xml:space="preserve">. </w:t>
      </w:r>
    </w:p>
    <w:p w14:paraId="609702F4" w14:textId="49314F5D" w:rsidR="00C53F8E" w:rsidRDefault="00E2263D" w:rsidP="00F265A0">
      <w:pPr>
        <w:rPr>
          <w:rFonts w:eastAsia="Calibri"/>
        </w:rPr>
      </w:pPr>
      <w:r w:rsidRPr="00167668">
        <w:rPr>
          <w:rFonts w:eastAsia="Calibri"/>
        </w:rPr>
        <w:t>S</w:t>
      </w:r>
      <w:r w:rsidR="00C53F8E" w:rsidRPr="00167668">
        <w:rPr>
          <w:rFonts w:eastAsia="Calibri"/>
        </w:rPr>
        <w:t xml:space="preserve">alary costs </w:t>
      </w:r>
      <w:r w:rsidRPr="00167668">
        <w:rPr>
          <w:rFonts w:eastAsia="Calibri"/>
        </w:rPr>
        <w:t xml:space="preserve">for DAFF staff </w:t>
      </w:r>
      <w:r w:rsidR="00C53F8E" w:rsidRPr="00167668">
        <w:rPr>
          <w:rFonts w:eastAsia="Calibri"/>
        </w:rPr>
        <w:t>have been included in the analysis using the best available estimates. However, there are several limitations to the accuracy of these figures. Staff did not consistently record the time spent on BSE-related activities, and their involvement varied in intensity over the 2019–2023 period. Involvement was often concentrated around specific milestones—such as WOAH standard consultation periods and preparations for General Sessions—rather than being continuous. In many cases, BSE work was undertaken alongside other responsibilities, making it difficult to isolate relevant effort. As a result, the salary estimates rely on retrospective judgements provided by staff and managers and should be interpreted as indicative rather than precise.</w:t>
      </w:r>
    </w:p>
    <w:p w14:paraId="43792AFD" w14:textId="74E18221" w:rsidR="001D32B2" w:rsidRDefault="001D32B2" w:rsidP="00F265A0">
      <w:pPr>
        <w:rPr>
          <w:rFonts w:eastAsia="Calibri"/>
        </w:rPr>
      </w:pPr>
      <w:r w:rsidRPr="000D2FB5">
        <w:t xml:space="preserve">Australia makes substantial annual voluntary contributions to WOAH. This investment </w:t>
      </w:r>
      <w:r>
        <w:t xml:space="preserve">has helped fund WOAH’s activities both at headquarter and regional levels </w:t>
      </w:r>
      <w:r w:rsidRPr="000D2FB5">
        <w:t>(e.g. on aquatic animal health, strengthening organisational governance).</w:t>
      </w:r>
      <w:r>
        <w:t xml:space="preserve"> It is important to note that WOAH’s regional offices are heavily reliant on voluntary contributions which funded 73% of their budget in 2024 (WOAH Financial Report, 2024).</w:t>
      </w:r>
      <w:r w:rsidRPr="000D2FB5">
        <w:t xml:space="preserve"> There is also a recognised and important non-quantifiable contribution from Australia, such as input in different WOAH institutions, provision of secondees, and a wide variety of active contribution to the organisation.</w:t>
      </w:r>
    </w:p>
    <w:p w14:paraId="7FB1310C" w14:textId="34D0E2BF" w:rsidR="00830F35" w:rsidRDefault="00E23F7D" w:rsidP="00830F35">
      <w:r>
        <w:rPr>
          <w:noProof/>
        </w:rPr>
        <w:lastRenderedPageBreak/>
        <mc:AlternateContent>
          <mc:Choice Requires="wps">
            <w:drawing>
              <wp:anchor distT="45720" distB="45720" distL="114300" distR="114300" simplePos="0" relativeHeight="251660288" behindDoc="0" locked="0" layoutInCell="1" allowOverlap="1" wp14:anchorId="4624ADE1" wp14:editId="63E177CD">
                <wp:simplePos x="0" y="0"/>
                <wp:positionH relativeFrom="margin">
                  <wp:align>left</wp:align>
                </wp:positionH>
                <wp:positionV relativeFrom="margin">
                  <wp:posOffset>93218</wp:posOffset>
                </wp:positionV>
                <wp:extent cx="5464175" cy="3876675"/>
                <wp:effectExtent l="0" t="0" r="3175" b="9525"/>
                <wp:wrapSquare wrapText="bothSides"/>
                <wp:docPr id="1061006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4175" cy="3877056"/>
                        </a:xfrm>
                        <a:prstGeom prst="rect">
                          <a:avLst/>
                        </a:prstGeom>
                        <a:solidFill>
                          <a:srgbClr val="FFFFFF"/>
                        </a:solidFill>
                        <a:ln w="9525">
                          <a:noFill/>
                          <a:miter lim="800000"/>
                          <a:headEnd/>
                          <a:tailEnd/>
                        </a:ln>
                      </wps:spPr>
                      <wps:txbx>
                        <w:txbxContent>
                          <w:p w14:paraId="28859C32" w14:textId="3B6622E8" w:rsidR="00EA4BAD" w:rsidRPr="00EC6225" w:rsidRDefault="00EA4BAD" w:rsidP="00EA4BAD">
                            <w:pPr>
                              <w:pStyle w:val="Caption"/>
                            </w:pPr>
                            <w:bookmarkStart w:id="72" w:name="_Toc206083803"/>
                            <w:r>
                              <w:t xml:space="preserve">Table </w:t>
                            </w:r>
                            <w:r w:rsidR="00F64BE7">
                              <w:fldChar w:fldCharType="begin"/>
                            </w:r>
                            <w:r w:rsidR="00F64BE7">
                              <w:instrText xml:space="preserve"> SEQ Table \* ARABIC </w:instrText>
                            </w:r>
                            <w:r w:rsidR="00F64BE7">
                              <w:fldChar w:fldCharType="separate"/>
                            </w:r>
                            <w:r w:rsidR="003D357A">
                              <w:rPr>
                                <w:noProof/>
                              </w:rPr>
                              <w:t>2</w:t>
                            </w:r>
                            <w:r w:rsidR="00F64BE7">
                              <w:fldChar w:fldCharType="end"/>
                            </w:r>
                            <w:r>
                              <w:t>. Data and data sources used to calculate costs and benefits of ISS</w:t>
                            </w:r>
                            <w:bookmarkEnd w:id="72"/>
                          </w:p>
                          <w:tbl>
                            <w:tblPr>
                              <w:tblStyle w:val="TableGrid"/>
                              <w:tblW w:w="8341" w:type="dxa"/>
                              <w:tblBorders>
                                <w:left w:val="none" w:sz="0" w:space="0" w:color="auto"/>
                                <w:right w:val="none" w:sz="0" w:space="0" w:color="auto"/>
                                <w:insideV w:val="none" w:sz="0" w:space="0" w:color="auto"/>
                              </w:tblBorders>
                              <w:tblLook w:val="04A0" w:firstRow="1" w:lastRow="0" w:firstColumn="1" w:lastColumn="0" w:noHBand="0" w:noVBand="1"/>
                            </w:tblPr>
                            <w:tblGrid>
                              <w:gridCol w:w="2572"/>
                              <w:gridCol w:w="1064"/>
                              <w:gridCol w:w="1417"/>
                              <w:gridCol w:w="3288"/>
                            </w:tblGrid>
                            <w:tr w:rsidR="00EA4BAD" w:rsidRPr="00202A49" w14:paraId="7431A0C7" w14:textId="77777777" w:rsidTr="00173C76">
                              <w:tc>
                                <w:tcPr>
                                  <w:tcW w:w="2572" w:type="dxa"/>
                                  <w:tcBorders>
                                    <w:top w:val="single" w:sz="12" w:space="0" w:color="auto"/>
                                    <w:bottom w:val="single" w:sz="6" w:space="0" w:color="auto"/>
                                  </w:tcBorders>
                                </w:tcPr>
                                <w:p w14:paraId="28C5FD90" w14:textId="77777777" w:rsidR="00EA4BAD" w:rsidRPr="00202A49" w:rsidRDefault="00EA4BAD" w:rsidP="00EA4BAD">
                                  <w:pPr>
                                    <w:spacing w:before="20" w:after="20" w:line="240" w:lineRule="auto"/>
                                    <w:rPr>
                                      <w:sz w:val="20"/>
                                      <w:szCs w:val="20"/>
                                    </w:rPr>
                                  </w:pPr>
                                  <w:r w:rsidRPr="00202A49">
                                    <w:rPr>
                                      <w:sz w:val="20"/>
                                      <w:szCs w:val="20"/>
                                    </w:rPr>
                                    <w:t>Parameter/Variable</w:t>
                                  </w:r>
                                </w:p>
                              </w:tc>
                              <w:tc>
                                <w:tcPr>
                                  <w:tcW w:w="1064" w:type="dxa"/>
                                  <w:tcBorders>
                                    <w:top w:val="single" w:sz="12" w:space="0" w:color="auto"/>
                                    <w:bottom w:val="single" w:sz="6" w:space="0" w:color="auto"/>
                                  </w:tcBorders>
                                </w:tcPr>
                                <w:p w14:paraId="4E9D3728" w14:textId="77777777" w:rsidR="00EA4BAD" w:rsidRPr="00202A49" w:rsidRDefault="00EA4BAD" w:rsidP="00EA4BAD">
                                  <w:pPr>
                                    <w:spacing w:before="20" w:after="20" w:line="240" w:lineRule="auto"/>
                                    <w:ind w:left="33"/>
                                    <w:rPr>
                                      <w:sz w:val="20"/>
                                      <w:szCs w:val="20"/>
                                    </w:rPr>
                                  </w:pPr>
                                  <w:r w:rsidRPr="00202A49">
                                    <w:rPr>
                                      <w:sz w:val="20"/>
                                      <w:szCs w:val="20"/>
                                    </w:rPr>
                                    <w:t>Notation</w:t>
                                  </w:r>
                                </w:p>
                              </w:tc>
                              <w:tc>
                                <w:tcPr>
                                  <w:tcW w:w="1417" w:type="dxa"/>
                                  <w:tcBorders>
                                    <w:top w:val="single" w:sz="12" w:space="0" w:color="auto"/>
                                    <w:bottom w:val="single" w:sz="6" w:space="0" w:color="auto"/>
                                  </w:tcBorders>
                                </w:tcPr>
                                <w:p w14:paraId="0059DC11" w14:textId="77777777" w:rsidR="00EA4BAD" w:rsidRPr="00202A49" w:rsidRDefault="00EA4BAD" w:rsidP="00EA4BAD">
                                  <w:pPr>
                                    <w:spacing w:before="20" w:after="20" w:line="240" w:lineRule="auto"/>
                                    <w:jc w:val="left"/>
                                    <w:rPr>
                                      <w:sz w:val="20"/>
                                      <w:szCs w:val="20"/>
                                    </w:rPr>
                                  </w:pPr>
                                  <w:r>
                                    <w:rPr>
                                      <w:sz w:val="20"/>
                                      <w:szCs w:val="20"/>
                                    </w:rPr>
                                    <w:t>Value AUD^</w:t>
                                  </w:r>
                                </w:p>
                              </w:tc>
                              <w:tc>
                                <w:tcPr>
                                  <w:tcW w:w="3288" w:type="dxa"/>
                                  <w:tcBorders>
                                    <w:top w:val="single" w:sz="12" w:space="0" w:color="auto"/>
                                    <w:bottom w:val="single" w:sz="6" w:space="0" w:color="auto"/>
                                  </w:tcBorders>
                                </w:tcPr>
                                <w:p w14:paraId="125C262F" w14:textId="77777777" w:rsidR="00EA4BAD" w:rsidRPr="00202A49" w:rsidRDefault="00EA4BAD" w:rsidP="00EA4BAD">
                                  <w:pPr>
                                    <w:spacing w:before="20" w:after="20" w:line="240" w:lineRule="auto"/>
                                    <w:rPr>
                                      <w:sz w:val="20"/>
                                      <w:szCs w:val="20"/>
                                    </w:rPr>
                                  </w:pPr>
                                  <w:r w:rsidRPr="00202A49">
                                    <w:rPr>
                                      <w:sz w:val="20"/>
                                      <w:szCs w:val="20"/>
                                    </w:rPr>
                                    <w:t>Data sources</w:t>
                                  </w:r>
                                  <w:r>
                                    <w:rPr>
                                      <w:sz w:val="20"/>
                                      <w:szCs w:val="20"/>
                                    </w:rPr>
                                    <w:t xml:space="preserve"> and notes</w:t>
                                  </w:r>
                                </w:p>
                              </w:tc>
                            </w:tr>
                            <w:tr w:rsidR="00EA4BAD" w:rsidRPr="00202A49" w14:paraId="5E3BE589" w14:textId="77777777" w:rsidTr="00173C76">
                              <w:tc>
                                <w:tcPr>
                                  <w:tcW w:w="2572" w:type="dxa"/>
                                  <w:tcBorders>
                                    <w:top w:val="single" w:sz="6" w:space="0" w:color="auto"/>
                                    <w:bottom w:val="single" w:sz="6" w:space="0" w:color="BFBFBF" w:themeColor="background1" w:themeShade="BF"/>
                                  </w:tcBorders>
                                </w:tcPr>
                                <w:p w14:paraId="2EF1FA58" w14:textId="77777777" w:rsidR="00EA4BAD" w:rsidRPr="00202A49" w:rsidRDefault="00EA4BAD" w:rsidP="00EA4BAD">
                                  <w:pPr>
                                    <w:spacing w:before="40" w:after="40" w:line="240" w:lineRule="auto"/>
                                    <w:rPr>
                                      <w:sz w:val="20"/>
                                      <w:szCs w:val="20"/>
                                    </w:rPr>
                                  </w:pPr>
                                  <w:r>
                                    <w:rPr>
                                      <w:b/>
                                      <w:sz w:val="20"/>
                                      <w:szCs w:val="20"/>
                                    </w:rPr>
                                    <w:t>Costs of engagement in BSE ISS</w:t>
                                  </w:r>
                                </w:p>
                              </w:tc>
                              <w:tc>
                                <w:tcPr>
                                  <w:tcW w:w="1064" w:type="dxa"/>
                                  <w:tcBorders>
                                    <w:top w:val="single" w:sz="6" w:space="0" w:color="auto"/>
                                    <w:bottom w:val="single" w:sz="6" w:space="0" w:color="BFBFBF" w:themeColor="background1" w:themeShade="BF"/>
                                  </w:tcBorders>
                                </w:tcPr>
                                <w:p w14:paraId="141DDE5C" w14:textId="77777777" w:rsidR="00EA4BAD" w:rsidRPr="00BA6B60" w:rsidRDefault="00EA4BAD" w:rsidP="00EA4BAD">
                                  <w:pPr>
                                    <w:spacing w:before="40" w:after="40" w:line="240" w:lineRule="auto"/>
                                    <w:ind w:left="33"/>
                                    <w:rPr>
                                      <w:i/>
                                      <w:sz w:val="20"/>
                                      <w:szCs w:val="20"/>
                                    </w:rPr>
                                  </w:pPr>
                                </w:p>
                              </w:tc>
                              <w:tc>
                                <w:tcPr>
                                  <w:tcW w:w="1417" w:type="dxa"/>
                                  <w:tcBorders>
                                    <w:top w:val="single" w:sz="6" w:space="0" w:color="auto"/>
                                    <w:bottom w:val="single" w:sz="6" w:space="0" w:color="BFBFBF" w:themeColor="background1" w:themeShade="BF"/>
                                  </w:tcBorders>
                                </w:tcPr>
                                <w:p w14:paraId="58E82179" w14:textId="77777777" w:rsidR="00EA4BAD" w:rsidRPr="00202A49" w:rsidRDefault="00EA4BAD" w:rsidP="00EA4BAD">
                                  <w:pPr>
                                    <w:spacing w:before="40" w:after="40" w:line="240" w:lineRule="auto"/>
                                    <w:rPr>
                                      <w:sz w:val="20"/>
                                      <w:szCs w:val="20"/>
                                    </w:rPr>
                                  </w:pPr>
                                </w:p>
                              </w:tc>
                              <w:tc>
                                <w:tcPr>
                                  <w:tcW w:w="3288" w:type="dxa"/>
                                  <w:tcBorders>
                                    <w:top w:val="single" w:sz="6" w:space="0" w:color="auto"/>
                                    <w:bottom w:val="single" w:sz="6" w:space="0" w:color="BFBFBF" w:themeColor="background1" w:themeShade="BF"/>
                                  </w:tcBorders>
                                </w:tcPr>
                                <w:p w14:paraId="5C5905AF" w14:textId="77777777" w:rsidR="00EA4BAD" w:rsidRPr="00202A49" w:rsidRDefault="00EA4BAD" w:rsidP="00EA4BAD">
                                  <w:pPr>
                                    <w:spacing w:before="40" w:after="40" w:line="240" w:lineRule="auto"/>
                                    <w:rPr>
                                      <w:sz w:val="20"/>
                                      <w:szCs w:val="20"/>
                                    </w:rPr>
                                  </w:pPr>
                                </w:p>
                              </w:tc>
                            </w:tr>
                            <w:tr w:rsidR="00EA4BAD" w:rsidRPr="00202A49" w14:paraId="7E990E9A" w14:textId="77777777" w:rsidTr="00173C76">
                              <w:tc>
                                <w:tcPr>
                                  <w:tcW w:w="2572" w:type="dxa"/>
                                  <w:tcBorders>
                                    <w:top w:val="single" w:sz="6" w:space="0" w:color="BFBFBF" w:themeColor="background1" w:themeShade="BF"/>
                                    <w:bottom w:val="single" w:sz="6" w:space="0" w:color="BFBFBF" w:themeColor="background1" w:themeShade="BF"/>
                                  </w:tcBorders>
                                </w:tcPr>
                                <w:p w14:paraId="3AE1A63E" w14:textId="77777777" w:rsidR="00EA4BAD" w:rsidRDefault="00EA4BAD" w:rsidP="00EA4BAD">
                                  <w:pPr>
                                    <w:spacing w:before="40" w:after="40" w:line="240" w:lineRule="auto"/>
                                    <w:ind w:left="113"/>
                                    <w:jc w:val="left"/>
                                    <w:rPr>
                                      <w:sz w:val="20"/>
                                      <w:szCs w:val="20"/>
                                    </w:rPr>
                                  </w:pPr>
                                  <w:r>
                                    <w:rPr>
                                      <w:sz w:val="20"/>
                                      <w:szCs w:val="20"/>
                                    </w:rPr>
                                    <w:t>Annual cost of WOAH membership</w:t>
                                  </w:r>
                                </w:p>
                              </w:tc>
                              <w:tc>
                                <w:tcPr>
                                  <w:tcW w:w="1064" w:type="dxa"/>
                                  <w:tcBorders>
                                    <w:top w:val="single" w:sz="6" w:space="0" w:color="BFBFBF" w:themeColor="background1" w:themeShade="BF"/>
                                    <w:bottom w:val="single" w:sz="6" w:space="0" w:color="BFBFBF" w:themeColor="background1" w:themeShade="BF"/>
                                  </w:tcBorders>
                                </w:tcPr>
                                <w:p w14:paraId="7DB35A75" w14:textId="77777777" w:rsidR="00EA4BAD" w:rsidRDefault="00EA4BAD" w:rsidP="00EA4BAD">
                                  <w:pPr>
                                    <w:spacing w:before="40" w:after="40" w:line="240" w:lineRule="auto"/>
                                    <w:ind w:left="33"/>
                                    <w:rPr>
                                      <w:i/>
                                      <w:sz w:val="20"/>
                                      <w:szCs w:val="20"/>
                                    </w:rPr>
                                  </w:pPr>
                                  <w:r>
                                    <w:rPr>
                                      <w:i/>
                                      <w:sz w:val="20"/>
                                      <w:szCs w:val="20"/>
                                    </w:rPr>
                                    <w:t>Mem</w:t>
                                  </w:r>
                                </w:p>
                              </w:tc>
                              <w:tc>
                                <w:tcPr>
                                  <w:tcW w:w="1417" w:type="dxa"/>
                                  <w:tcBorders>
                                    <w:top w:val="single" w:sz="6" w:space="0" w:color="BFBFBF" w:themeColor="background1" w:themeShade="BF"/>
                                    <w:bottom w:val="single" w:sz="6" w:space="0" w:color="BFBFBF" w:themeColor="background1" w:themeShade="BF"/>
                                  </w:tcBorders>
                                </w:tcPr>
                                <w:p w14:paraId="64A234B6" w14:textId="77777777" w:rsidR="00EA4BAD" w:rsidRDefault="00EA4BAD" w:rsidP="00EA4BAD">
                                  <w:pPr>
                                    <w:spacing w:before="40" w:after="40" w:line="240" w:lineRule="auto"/>
                                    <w:jc w:val="left"/>
                                    <w:rPr>
                                      <w:sz w:val="20"/>
                                      <w:szCs w:val="20"/>
                                    </w:rPr>
                                  </w:pPr>
                                  <w:r>
                                    <w:rPr>
                                      <w:sz w:val="20"/>
                                      <w:szCs w:val="20"/>
                                    </w:rPr>
                                    <w:t>$426,423</w:t>
                                  </w:r>
                                </w:p>
                              </w:tc>
                              <w:tc>
                                <w:tcPr>
                                  <w:tcW w:w="3288" w:type="dxa"/>
                                  <w:tcBorders>
                                    <w:top w:val="single" w:sz="6" w:space="0" w:color="BFBFBF" w:themeColor="background1" w:themeShade="BF"/>
                                    <w:bottom w:val="single" w:sz="6" w:space="0" w:color="BFBFBF" w:themeColor="background1" w:themeShade="BF"/>
                                  </w:tcBorders>
                                </w:tcPr>
                                <w:p w14:paraId="3DCD0DD9" w14:textId="77777777" w:rsidR="00EA4BAD" w:rsidRPr="00235714" w:rsidRDefault="00EA4BAD" w:rsidP="00EA4BAD">
                                  <w:pPr>
                                    <w:spacing w:before="0" w:line="240" w:lineRule="auto"/>
                                    <w:rPr>
                                      <w:sz w:val="20"/>
                                      <w:szCs w:val="20"/>
                                    </w:rPr>
                                  </w:pPr>
                                  <w:r>
                                    <w:rPr>
                                      <w:sz w:val="20"/>
                                      <w:szCs w:val="20"/>
                                    </w:rPr>
                                    <w:t xml:space="preserve">Australia pays annual membership fees (statutory contributions) as a Category 1 country. The average of Category 1 fees for </w:t>
                                  </w:r>
                                  <w:r w:rsidRPr="0036248C">
                                    <w:rPr>
                                      <w:sz w:val="20"/>
                                      <w:szCs w:val="20"/>
                                    </w:rPr>
                                    <w:t>2019-2023</w:t>
                                  </w:r>
                                  <w:r>
                                    <w:rPr>
                                      <w:sz w:val="20"/>
                                      <w:szCs w:val="20"/>
                                    </w:rPr>
                                    <w:t xml:space="preserve"> were taken from annual WOAH documents detailing </w:t>
                                  </w:r>
                                  <w:r>
                                    <w:rPr>
                                      <w:i/>
                                      <w:iCs/>
                                      <w:sz w:val="20"/>
                                      <w:szCs w:val="20"/>
                                    </w:rPr>
                                    <w:t xml:space="preserve">Financial contributions from WOAH Members for </w:t>
                                  </w:r>
                                  <w:r w:rsidRPr="00FF765F">
                                    <w:rPr>
                                      <w:i/>
                                      <w:iCs/>
                                      <w:sz w:val="20"/>
                                      <w:szCs w:val="20"/>
                                    </w:rPr>
                                    <w:t>20</w:t>
                                  </w:r>
                                  <w:r>
                                    <w:rPr>
                                      <w:i/>
                                      <w:iCs/>
                                      <w:sz w:val="20"/>
                                      <w:szCs w:val="20"/>
                                    </w:rPr>
                                    <w:t xml:space="preserve">24; </w:t>
                                  </w:r>
                                  <w:r w:rsidRPr="001D01A8">
                                    <w:rPr>
                                      <w:sz w:val="20"/>
                                      <w:szCs w:val="20"/>
                                    </w:rPr>
                                    <w:t>AUD/€</w:t>
                                  </w:r>
                                  <w:r>
                                    <w:rPr>
                                      <w:sz w:val="20"/>
                                      <w:szCs w:val="20"/>
                                    </w:rPr>
                                    <w:t>=1.63</w:t>
                                  </w:r>
                                </w:p>
                              </w:tc>
                            </w:tr>
                            <w:tr w:rsidR="00EA4BAD" w:rsidRPr="00202A49" w14:paraId="0C57DFD7" w14:textId="77777777" w:rsidTr="00173C76">
                              <w:tc>
                                <w:tcPr>
                                  <w:tcW w:w="2572" w:type="dxa"/>
                                  <w:tcBorders>
                                    <w:top w:val="single" w:sz="6" w:space="0" w:color="BFBFBF" w:themeColor="background1" w:themeShade="BF"/>
                                    <w:bottom w:val="single" w:sz="6" w:space="0" w:color="BFBFBF" w:themeColor="background1" w:themeShade="BF"/>
                                  </w:tcBorders>
                                </w:tcPr>
                                <w:p w14:paraId="50D222CE" w14:textId="1460FA36" w:rsidR="00EA4BAD" w:rsidRDefault="00EA4BAD" w:rsidP="00EA4BAD">
                                  <w:pPr>
                                    <w:spacing w:before="40" w:after="40" w:line="240" w:lineRule="auto"/>
                                    <w:ind w:left="113"/>
                                    <w:jc w:val="left"/>
                                    <w:rPr>
                                      <w:sz w:val="20"/>
                                      <w:szCs w:val="20"/>
                                    </w:rPr>
                                  </w:pPr>
                                  <w:r>
                                    <w:rPr>
                                      <w:sz w:val="20"/>
                                      <w:szCs w:val="20"/>
                                    </w:rPr>
                                    <w:t>Annual Australian voluntary contributions to WOAH</w:t>
                                  </w:r>
                                </w:p>
                              </w:tc>
                              <w:tc>
                                <w:tcPr>
                                  <w:tcW w:w="1064" w:type="dxa"/>
                                  <w:tcBorders>
                                    <w:top w:val="single" w:sz="6" w:space="0" w:color="BFBFBF" w:themeColor="background1" w:themeShade="BF"/>
                                    <w:bottom w:val="single" w:sz="6" w:space="0" w:color="BFBFBF" w:themeColor="background1" w:themeShade="BF"/>
                                  </w:tcBorders>
                                </w:tcPr>
                                <w:p w14:paraId="288E123A" w14:textId="77777777" w:rsidR="00EA4BAD" w:rsidRDefault="00EA4BAD" w:rsidP="00EA4BAD">
                                  <w:pPr>
                                    <w:spacing w:before="40" w:after="40" w:line="240" w:lineRule="auto"/>
                                    <w:ind w:left="33"/>
                                    <w:rPr>
                                      <w:i/>
                                      <w:sz w:val="20"/>
                                      <w:szCs w:val="20"/>
                                    </w:rPr>
                                  </w:pPr>
                                  <w:r>
                                    <w:rPr>
                                      <w:i/>
                                      <w:sz w:val="20"/>
                                      <w:szCs w:val="20"/>
                                    </w:rPr>
                                    <w:t>Dn</w:t>
                                  </w:r>
                                </w:p>
                              </w:tc>
                              <w:tc>
                                <w:tcPr>
                                  <w:tcW w:w="1417" w:type="dxa"/>
                                  <w:tcBorders>
                                    <w:top w:val="single" w:sz="6" w:space="0" w:color="BFBFBF" w:themeColor="background1" w:themeShade="BF"/>
                                    <w:bottom w:val="single" w:sz="6" w:space="0" w:color="BFBFBF" w:themeColor="background1" w:themeShade="BF"/>
                                  </w:tcBorders>
                                </w:tcPr>
                                <w:p w14:paraId="6D5E094B" w14:textId="77777777" w:rsidR="00EA4BAD" w:rsidRDefault="00EA4BAD" w:rsidP="00EA4BAD">
                                  <w:pPr>
                                    <w:spacing w:before="40" w:after="40" w:line="240" w:lineRule="auto"/>
                                    <w:rPr>
                                      <w:sz w:val="20"/>
                                      <w:szCs w:val="20"/>
                                    </w:rPr>
                                  </w:pPr>
                                  <w:r>
                                    <w:rPr>
                                      <w:sz w:val="20"/>
                                      <w:szCs w:val="20"/>
                                    </w:rPr>
                                    <w:t>$3,089,542</w:t>
                                  </w:r>
                                </w:p>
                              </w:tc>
                              <w:tc>
                                <w:tcPr>
                                  <w:tcW w:w="3288" w:type="dxa"/>
                                  <w:tcBorders>
                                    <w:top w:val="single" w:sz="6" w:space="0" w:color="BFBFBF" w:themeColor="background1" w:themeShade="BF"/>
                                    <w:bottom w:val="single" w:sz="6" w:space="0" w:color="BFBFBF" w:themeColor="background1" w:themeShade="BF"/>
                                  </w:tcBorders>
                                </w:tcPr>
                                <w:p w14:paraId="4B97745D" w14:textId="77777777" w:rsidR="00EA4BAD" w:rsidRPr="00003283" w:rsidRDefault="00EA4BAD" w:rsidP="00EA4BAD">
                                  <w:pPr>
                                    <w:spacing w:before="40" w:after="40" w:line="240" w:lineRule="auto"/>
                                    <w:jc w:val="left"/>
                                    <w:rPr>
                                      <w:sz w:val="20"/>
                                      <w:szCs w:val="20"/>
                                    </w:rPr>
                                  </w:pPr>
                                  <w:r>
                                    <w:rPr>
                                      <w:sz w:val="20"/>
                                      <w:szCs w:val="20"/>
                                    </w:rPr>
                                    <w:t xml:space="preserve">World Fund Advisory Committee of WOAH; average 2019-2024; </w:t>
                                  </w:r>
                                  <w:r w:rsidRPr="00235714">
                                    <w:rPr>
                                      <w:sz w:val="20"/>
                                      <w:szCs w:val="20"/>
                                    </w:rPr>
                                    <w:t>EUR=1.63AUD</w:t>
                                  </w:r>
                                </w:p>
                              </w:tc>
                            </w:tr>
                            <w:tr w:rsidR="00EA4BAD" w:rsidRPr="00202A49" w14:paraId="76845B57" w14:textId="77777777" w:rsidTr="00173C76">
                              <w:tc>
                                <w:tcPr>
                                  <w:tcW w:w="2572" w:type="dxa"/>
                                  <w:tcBorders>
                                    <w:top w:val="single" w:sz="6" w:space="0" w:color="BFBFBF" w:themeColor="background1" w:themeShade="BF"/>
                                    <w:bottom w:val="single" w:sz="6" w:space="0" w:color="BFBFBF" w:themeColor="background1" w:themeShade="BF"/>
                                  </w:tcBorders>
                                </w:tcPr>
                                <w:p w14:paraId="2232FC98" w14:textId="77777777" w:rsidR="00EA4BAD" w:rsidRDefault="00EA4BAD" w:rsidP="00EA4BAD">
                                  <w:pPr>
                                    <w:spacing w:before="40" w:after="40" w:line="240" w:lineRule="auto"/>
                                    <w:ind w:left="113"/>
                                    <w:jc w:val="left"/>
                                    <w:rPr>
                                      <w:sz w:val="20"/>
                                      <w:szCs w:val="20"/>
                                    </w:rPr>
                                  </w:pPr>
                                  <w:r>
                                    <w:rPr>
                                      <w:sz w:val="20"/>
                                      <w:szCs w:val="20"/>
                                    </w:rPr>
                                    <w:t>Annual Travel costs</w:t>
                                  </w:r>
                                </w:p>
                              </w:tc>
                              <w:tc>
                                <w:tcPr>
                                  <w:tcW w:w="1064" w:type="dxa"/>
                                  <w:tcBorders>
                                    <w:top w:val="single" w:sz="6" w:space="0" w:color="BFBFBF" w:themeColor="background1" w:themeShade="BF"/>
                                    <w:bottom w:val="single" w:sz="6" w:space="0" w:color="BFBFBF" w:themeColor="background1" w:themeShade="BF"/>
                                  </w:tcBorders>
                                </w:tcPr>
                                <w:p w14:paraId="1911239F" w14:textId="77777777" w:rsidR="00EA4BAD" w:rsidRDefault="00EA4BAD" w:rsidP="00EA4BAD">
                                  <w:pPr>
                                    <w:spacing w:before="40" w:after="40" w:line="240" w:lineRule="auto"/>
                                    <w:ind w:left="33"/>
                                    <w:rPr>
                                      <w:i/>
                                      <w:sz w:val="20"/>
                                      <w:szCs w:val="20"/>
                                    </w:rPr>
                                  </w:pPr>
                                  <w:r>
                                    <w:rPr>
                                      <w:i/>
                                      <w:sz w:val="20"/>
                                      <w:szCs w:val="20"/>
                                    </w:rPr>
                                    <w:t>Tr</w:t>
                                  </w:r>
                                </w:p>
                              </w:tc>
                              <w:tc>
                                <w:tcPr>
                                  <w:tcW w:w="1417" w:type="dxa"/>
                                  <w:tcBorders>
                                    <w:top w:val="single" w:sz="6" w:space="0" w:color="BFBFBF" w:themeColor="background1" w:themeShade="BF"/>
                                    <w:bottom w:val="single" w:sz="6" w:space="0" w:color="BFBFBF" w:themeColor="background1" w:themeShade="BF"/>
                                  </w:tcBorders>
                                </w:tcPr>
                                <w:p w14:paraId="41903A6B" w14:textId="676BB0F2" w:rsidR="00EA4BAD" w:rsidRDefault="00EA4BAD" w:rsidP="00EA4BAD">
                                  <w:pPr>
                                    <w:spacing w:before="40" w:after="40" w:line="240" w:lineRule="auto"/>
                                    <w:rPr>
                                      <w:sz w:val="20"/>
                                      <w:szCs w:val="20"/>
                                    </w:rPr>
                                  </w:pPr>
                                  <w:r>
                                    <w:rPr>
                                      <w:sz w:val="20"/>
                                      <w:szCs w:val="20"/>
                                    </w:rPr>
                                    <w:t>$85,344</w:t>
                                  </w:r>
                                </w:p>
                              </w:tc>
                              <w:tc>
                                <w:tcPr>
                                  <w:tcW w:w="3288" w:type="dxa"/>
                                  <w:tcBorders>
                                    <w:top w:val="single" w:sz="6" w:space="0" w:color="BFBFBF" w:themeColor="background1" w:themeShade="BF"/>
                                    <w:bottom w:val="single" w:sz="6" w:space="0" w:color="BFBFBF" w:themeColor="background1" w:themeShade="BF"/>
                                  </w:tcBorders>
                                </w:tcPr>
                                <w:p w14:paraId="551DE26D" w14:textId="77777777" w:rsidR="00EA4BAD" w:rsidRDefault="00EA4BAD" w:rsidP="00EA4BAD">
                                  <w:pPr>
                                    <w:spacing w:before="40" w:after="40" w:line="240" w:lineRule="auto"/>
                                    <w:rPr>
                                      <w:sz w:val="20"/>
                                      <w:szCs w:val="20"/>
                                    </w:rPr>
                                  </w:pPr>
                                  <w:r>
                                    <w:rPr>
                                      <w:sz w:val="20"/>
                                      <w:szCs w:val="20"/>
                                    </w:rPr>
                                    <w:t>Three staff per year; DAFF OCVO</w:t>
                                  </w:r>
                                </w:p>
                              </w:tc>
                            </w:tr>
                            <w:tr w:rsidR="00EA4BAD" w:rsidRPr="00202A49" w14:paraId="30A6F889" w14:textId="77777777" w:rsidTr="00173C76">
                              <w:tc>
                                <w:tcPr>
                                  <w:tcW w:w="2572" w:type="dxa"/>
                                  <w:tcBorders>
                                    <w:top w:val="single" w:sz="6" w:space="0" w:color="BFBFBF" w:themeColor="background1" w:themeShade="BF"/>
                                    <w:bottom w:val="single" w:sz="6" w:space="0" w:color="BFBFBF" w:themeColor="background1" w:themeShade="BF"/>
                                  </w:tcBorders>
                                </w:tcPr>
                                <w:p w14:paraId="4EB12073" w14:textId="77777777" w:rsidR="00EA4BAD" w:rsidRDefault="00EA4BAD" w:rsidP="00EA4BAD">
                                  <w:pPr>
                                    <w:spacing w:before="40" w:after="40" w:line="240" w:lineRule="auto"/>
                                    <w:ind w:left="113"/>
                                    <w:jc w:val="left"/>
                                    <w:rPr>
                                      <w:sz w:val="20"/>
                                      <w:szCs w:val="20"/>
                                    </w:rPr>
                                  </w:pPr>
                                  <w:r>
                                    <w:rPr>
                                      <w:sz w:val="20"/>
                                      <w:szCs w:val="20"/>
                                    </w:rPr>
                                    <w:t>Annual DAFF salary costs</w:t>
                                  </w:r>
                                </w:p>
                              </w:tc>
                              <w:tc>
                                <w:tcPr>
                                  <w:tcW w:w="1064" w:type="dxa"/>
                                  <w:tcBorders>
                                    <w:top w:val="single" w:sz="6" w:space="0" w:color="BFBFBF" w:themeColor="background1" w:themeShade="BF"/>
                                    <w:bottom w:val="single" w:sz="6" w:space="0" w:color="BFBFBF" w:themeColor="background1" w:themeShade="BF"/>
                                  </w:tcBorders>
                                </w:tcPr>
                                <w:p w14:paraId="7C36C1C0" w14:textId="77777777" w:rsidR="00EA4BAD" w:rsidRDefault="00EA4BAD" w:rsidP="00EA4BAD">
                                  <w:pPr>
                                    <w:spacing w:before="40" w:after="40" w:line="240" w:lineRule="auto"/>
                                    <w:ind w:left="33"/>
                                    <w:rPr>
                                      <w:i/>
                                      <w:sz w:val="20"/>
                                      <w:szCs w:val="20"/>
                                    </w:rPr>
                                  </w:pPr>
                                  <w:r>
                                    <w:rPr>
                                      <w:i/>
                                      <w:sz w:val="20"/>
                                      <w:szCs w:val="20"/>
                                    </w:rPr>
                                    <w:t>Sal</w:t>
                                  </w:r>
                                </w:p>
                              </w:tc>
                              <w:tc>
                                <w:tcPr>
                                  <w:tcW w:w="1417" w:type="dxa"/>
                                  <w:tcBorders>
                                    <w:top w:val="single" w:sz="6" w:space="0" w:color="BFBFBF" w:themeColor="background1" w:themeShade="BF"/>
                                    <w:bottom w:val="single" w:sz="6" w:space="0" w:color="BFBFBF" w:themeColor="background1" w:themeShade="BF"/>
                                  </w:tcBorders>
                                </w:tcPr>
                                <w:p w14:paraId="5BB3EB1E" w14:textId="77777777" w:rsidR="00EA4BAD" w:rsidRDefault="00EA4BAD" w:rsidP="00EA4BAD">
                                  <w:pPr>
                                    <w:spacing w:before="40" w:after="40" w:line="240" w:lineRule="auto"/>
                                    <w:rPr>
                                      <w:sz w:val="20"/>
                                      <w:szCs w:val="20"/>
                                    </w:rPr>
                                  </w:pPr>
                                  <w:r>
                                    <w:rPr>
                                      <w:sz w:val="20"/>
                                      <w:szCs w:val="20"/>
                                    </w:rPr>
                                    <w:t>$415,343</w:t>
                                  </w:r>
                                </w:p>
                              </w:tc>
                              <w:tc>
                                <w:tcPr>
                                  <w:tcW w:w="3288" w:type="dxa"/>
                                  <w:tcBorders>
                                    <w:top w:val="single" w:sz="6" w:space="0" w:color="BFBFBF" w:themeColor="background1" w:themeShade="BF"/>
                                    <w:bottom w:val="single" w:sz="6" w:space="0" w:color="BFBFBF" w:themeColor="background1" w:themeShade="BF"/>
                                  </w:tcBorders>
                                </w:tcPr>
                                <w:p w14:paraId="204FCE38" w14:textId="77777777" w:rsidR="00EA4BAD" w:rsidRDefault="00EA4BAD" w:rsidP="00EA4BAD">
                                  <w:pPr>
                                    <w:spacing w:before="40" w:after="40" w:line="240" w:lineRule="auto"/>
                                    <w:rPr>
                                      <w:sz w:val="20"/>
                                      <w:szCs w:val="20"/>
                                    </w:rPr>
                                  </w:pPr>
                                  <w:r>
                                    <w:rPr>
                                      <w:sz w:val="20"/>
                                      <w:szCs w:val="20"/>
                                    </w:rPr>
                                    <w:t xml:space="preserve">Three staff: </w:t>
                                  </w:r>
                                  <w:r w:rsidRPr="00D7407C">
                                    <w:rPr>
                                      <w:sz w:val="20"/>
                                      <w:szCs w:val="20"/>
                                    </w:rPr>
                                    <w:t>Director, EL1, and APS6</w:t>
                                  </w:r>
                                </w:p>
                              </w:tc>
                            </w:tr>
                            <w:tr w:rsidR="00EA4BAD" w:rsidRPr="00202A49" w14:paraId="6667B80A" w14:textId="77777777" w:rsidTr="00173C76">
                              <w:tc>
                                <w:tcPr>
                                  <w:tcW w:w="2572" w:type="dxa"/>
                                  <w:tcBorders>
                                    <w:top w:val="single" w:sz="6" w:space="0" w:color="BFBFBF" w:themeColor="background1" w:themeShade="BF"/>
                                    <w:bottom w:val="single" w:sz="4" w:space="0" w:color="auto"/>
                                  </w:tcBorders>
                                </w:tcPr>
                                <w:p w14:paraId="10997078" w14:textId="77777777" w:rsidR="00EA4BAD" w:rsidRPr="001A0DDE" w:rsidRDefault="00EA4BAD" w:rsidP="008A451F">
                                  <w:pPr>
                                    <w:spacing w:before="40" w:after="40" w:line="240" w:lineRule="auto"/>
                                    <w:jc w:val="left"/>
                                    <w:rPr>
                                      <w:b/>
                                      <w:bCs/>
                                      <w:sz w:val="20"/>
                                      <w:szCs w:val="20"/>
                                    </w:rPr>
                                  </w:pPr>
                                  <w:r w:rsidRPr="001A0DDE">
                                    <w:rPr>
                                      <w:b/>
                                      <w:bCs/>
                                      <w:sz w:val="20"/>
                                      <w:szCs w:val="20"/>
                                    </w:rPr>
                                    <w:t>TOTAL</w:t>
                                  </w:r>
                                </w:p>
                              </w:tc>
                              <w:tc>
                                <w:tcPr>
                                  <w:tcW w:w="1064" w:type="dxa"/>
                                  <w:tcBorders>
                                    <w:top w:val="single" w:sz="6" w:space="0" w:color="BFBFBF" w:themeColor="background1" w:themeShade="BF"/>
                                    <w:bottom w:val="single" w:sz="4" w:space="0" w:color="auto"/>
                                  </w:tcBorders>
                                </w:tcPr>
                                <w:p w14:paraId="697C771F" w14:textId="77777777" w:rsidR="00EA4BAD" w:rsidRDefault="00EA4BAD" w:rsidP="00EA4BAD">
                                  <w:pPr>
                                    <w:spacing w:before="40" w:after="40" w:line="240" w:lineRule="auto"/>
                                    <w:ind w:left="33"/>
                                    <w:rPr>
                                      <w:i/>
                                      <w:sz w:val="20"/>
                                      <w:szCs w:val="20"/>
                                    </w:rPr>
                                  </w:pPr>
                                </w:p>
                              </w:tc>
                              <w:tc>
                                <w:tcPr>
                                  <w:tcW w:w="1417" w:type="dxa"/>
                                  <w:tcBorders>
                                    <w:top w:val="single" w:sz="6" w:space="0" w:color="BFBFBF" w:themeColor="background1" w:themeShade="BF"/>
                                    <w:bottom w:val="single" w:sz="4" w:space="0" w:color="auto"/>
                                  </w:tcBorders>
                                </w:tcPr>
                                <w:p w14:paraId="66F2BDB2" w14:textId="2970311F" w:rsidR="00EA4BAD" w:rsidRPr="00B127AB" w:rsidRDefault="00EA4BAD" w:rsidP="00EA4BAD">
                                  <w:pPr>
                                    <w:spacing w:before="40" w:after="40" w:line="240" w:lineRule="auto"/>
                                    <w:rPr>
                                      <w:b/>
                                      <w:bCs/>
                                      <w:sz w:val="20"/>
                                      <w:szCs w:val="20"/>
                                    </w:rPr>
                                  </w:pPr>
                                  <w:r w:rsidRPr="00B127AB">
                                    <w:rPr>
                                      <w:b/>
                                      <w:bCs/>
                                      <w:sz w:val="20"/>
                                      <w:szCs w:val="20"/>
                                    </w:rPr>
                                    <w:t>$</w:t>
                                  </w:r>
                                  <w:r>
                                    <w:rPr>
                                      <w:b/>
                                      <w:bCs/>
                                      <w:sz w:val="20"/>
                                      <w:szCs w:val="20"/>
                                    </w:rPr>
                                    <w:t>4,016,472</w:t>
                                  </w:r>
                                </w:p>
                              </w:tc>
                              <w:tc>
                                <w:tcPr>
                                  <w:tcW w:w="3288" w:type="dxa"/>
                                  <w:tcBorders>
                                    <w:top w:val="single" w:sz="6" w:space="0" w:color="BFBFBF" w:themeColor="background1" w:themeShade="BF"/>
                                    <w:bottom w:val="single" w:sz="4" w:space="0" w:color="auto"/>
                                  </w:tcBorders>
                                </w:tcPr>
                                <w:p w14:paraId="096442EA" w14:textId="77777777" w:rsidR="00EA4BAD" w:rsidRDefault="00EA4BAD" w:rsidP="00EA4BAD">
                                  <w:pPr>
                                    <w:spacing w:before="40" w:after="40" w:line="240" w:lineRule="auto"/>
                                    <w:rPr>
                                      <w:sz w:val="20"/>
                                      <w:szCs w:val="20"/>
                                    </w:rPr>
                                  </w:pPr>
                                </w:p>
                              </w:tc>
                            </w:tr>
                          </w:tbl>
                          <w:p w14:paraId="340C37D7" w14:textId="77777777" w:rsidR="00EA4BAD" w:rsidRDefault="00EA4BAD" w:rsidP="00EA4BAD">
                            <w:pPr>
                              <w:spacing w:before="0" w:after="0" w:line="240" w:lineRule="auto"/>
                            </w:pPr>
                            <w:r w:rsidRPr="008D2255">
                              <w:rPr>
                                <w:b/>
                                <w:bCs/>
                                <w:sz w:val="18"/>
                                <w:szCs w:val="18"/>
                              </w:rPr>
                              <w:t>^</w:t>
                            </w:r>
                            <w:r w:rsidRPr="008D2255">
                              <w:rPr>
                                <w:sz w:val="18"/>
                                <w:szCs w:val="18"/>
                              </w:rPr>
                              <w:t xml:space="preserve"> All values have been adjusted to real </w:t>
                            </w:r>
                            <w:r>
                              <w:rPr>
                                <w:sz w:val="18"/>
                                <w:szCs w:val="18"/>
                              </w:rPr>
                              <w:t>2023-</w:t>
                            </w:r>
                            <w:r w:rsidRPr="008D2255">
                              <w:rPr>
                                <w:sz w:val="18"/>
                                <w:szCs w:val="18"/>
                              </w:rPr>
                              <w:t xml:space="preserve">2024 </w:t>
                            </w:r>
                            <w:r>
                              <w:rPr>
                                <w:sz w:val="18"/>
                                <w:szCs w:val="18"/>
                              </w:rPr>
                              <w:t>AUD</w:t>
                            </w:r>
                            <w:r w:rsidRPr="008D2255">
                              <w:rPr>
                                <w:sz w:val="18"/>
                                <w:szCs w:val="18"/>
                              </w:rPr>
                              <w:t xml:space="preserve"> using CPI-based inflation indices derived from ABS annual inflation rates (2019–2024)</w:t>
                            </w:r>
                            <w:r>
                              <w:rPr>
                                <w:sz w:val="18"/>
                                <w:szCs w:val="18"/>
                              </w:rPr>
                              <w:t xml:space="preserve"> </w:t>
                            </w:r>
                            <w:hyperlink r:id="rId33" w:history="1">
                              <w:r w:rsidRPr="007C26B7">
                                <w:rPr>
                                  <w:rStyle w:val="Hyperlink"/>
                                  <w:sz w:val="18"/>
                                  <w:szCs w:val="18"/>
                                </w:rPr>
                                <w:t>https://www.abs.gov.au/statistics/economy/price-indexes-and-inflation/consumer-price-index-australia</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24ADE1" id="_x0000_s1029" type="#_x0000_t202" style="position:absolute;left:0;text-align:left;margin-left:0;margin-top:7.35pt;width:430.25pt;height:305.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" stroked="f">
                <v:textbox>
                  <w:txbxContent>
                    <w:p w14:paraId="28859C32" w14:textId="3B6622E8" w:rsidR="00EA4BAD" w:rsidRPr="00EC6225" w:rsidRDefault="00EA4BAD" w:rsidP="00EA4BAD">
                      <w:pPr>
                        <w:pStyle w:val="Caption"/>
                      </w:pPr>
                      <w:bookmarkStart w:id="73" w:name="_Toc206083803"/>
                      <w:r>
                        <w:t xml:space="preserve">Table </w:t>
                      </w:r>
                      <w:r w:rsidR="00F64BE7">
                        <w:fldChar w:fldCharType="begin"/>
                      </w:r>
                      <w:r w:rsidR="00F64BE7">
                        <w:instrText xml:space="preserve"> SEQ Table \* ARABIC </w:instrText>
                      </w:r>
                      <w:r w:rsidR="00F64BE7">
                        <w:fldChar w:fldCharType="separate"/>
                      </w:r>
                      <w:r w:rsidR="003D357A">
                        <w:rPr>
                          <w:noProof/>
                        </w:rPr>
                        <w:t>2</w:t>
                      </w:r>
                      <w:r w:rsidR="00F64BE7">
                        <w:fldChar w:fldCharType="end"/>
                      </w:r>
                      <w:r>
                        <w:t>. Data and data sources used to calculate costs and benefits of ISS</w:t>
                      </w:r>
                      <w:bookmarkEnd w:id="73"/>
                    </w:p>
                    <w:tbl>
                      <w:tblPr>
                        <w:tblStyle w:val="TableGrid"/>
                        <w:tblW w:w="8341" w:type="dxa"/>
                        <w:tblBorders>
                          <w:left w:val="none" w:sz="0" w:space="0" w:color="auto"/>
                          <w:right w:val="none" w:sz="0" w:space="0" w:color="auto"/>
                          <w:insideV w:val="none" w:sz="0" w:space="0" w:color="auto"/>
                        </w:tblBorders>
                        <w:tblLook w:val="04A0" w:firstRow="1" w:lastRow="0" w:firstColumn="1" w:lastColumn="0" w:noHBand="0" w:noVBand="1"/>
                      </w:tblPr>
                      <w:tblGrid>
                        <w:gridCol w:w="2572"/>
                        <w:gridCol w:w="1064"/>
                        <w:gridCol w:w="1417"/>
                        <w:gridCol w:w="3288"/>
                      </w:tblGrid>
                      <w:tr w:rsidR="00EA4BAD" w:rsidRPr="00202A49" w14:paraId="7431A0C7" w14:textId="77777777" w:rsidTr="00173C76">
                        <w:tc>
                          <w:tcPr>
                            <w:tcW w:w="2572" w:type="dxa"/>
                            <w:tcBorders>
                              <w:top w:val="single" w:sz="12" w:space="0" w:color="auto"/>
                              <w:bottom w:val="single" w:sz="6" w:space="0" w:color="auto"/>
                            </w:tcBorders>
                          </w:tcPr>
                          <w:p w14:paraId="28C5FD90" w14:textId="77777777" w:rsidR="00EA4BAD" w:rsidRPr="00202A49" w:rsidRDefault="00EA4BAD" w:rsidP="00EA4BAD">
                            <w:pPr>
                              <w:spacing w:before="20" w:after="20" w:line="240" w:lineRule="auto"/>
                              <w:rPr>
                                <w:sz w:val="20"/>
                                <w:szCs w:val="20"/>
                              </w:rPr>
                            </w:pPr>
                            <w:r w:rsidRPr="00202A49">
                              <w:rPr>
                                <w:sz w:val="20"/>
                                <w:szCs w:val="20"/>
                              </w:rPr>
                              <w:t>Parameter/Variable</w:t>
                            </w:r>
                          </w:p>
                        </w:tc>
                        <w:tc>
                          <w:tcPr>
                            <w:tcW w:w="1064" w:type="dxa"/>
                            <w:tcBorders>
                              <w:top w:val="single" w:sz="12" w:space="0" w:color="auto"/>
                              <w:bottom w:val="single" w:sz="6" w:space="0" w:color="auto"/>
                            </w:tcBorders>
                          </w:tcPr>
                          <w:p w14:paraId="4E9D3728" w14:textId="77777777" w:rsidR="00EA4BAD" w:rsidRPr="00202A49" w:rsidRDefault="00EA4BAD" w:rsidP="00EA4BAD">
                            <w:pPr>
                              <w:spacing w:before="20" w:after="20" w:line="240" w:lineRule="auto"/>
                              <w:ind w:left="33"/>
                              <w:rPr>
                                <w:sz w:val="20"/>
                                <w:szCs w:val="20"/>
                              </w:rPr>
                            </w:pPr>
                            <w:r w:rsidRPr="00202A49">
                              <w:rPr>
                                <w:sz w:val="20"/>
                                <w:szCs w:val="20"/>
                              </w:rPr>
                              <w:t>Notation</w:t>
                            </w:r>
                          </w:p>
                        </w:tc>
                        <w:tc>
                          <w:tcPr>
                            <w:tcW w:w="1417" w:type="dxa"/>
                            <w:tcBorders>
                              <w:top w:val="single" w:sz="12" w:space="0" w:color="auto"/>
                              <w:bottom w:val="single" w:sz="6" w:space="0" w:color="auto"/>
                            </w:tcBorders>
                          </w:tcPr>
                          <w:p w14:paraId="0059DC11" w14:textId="77777777" w:rsidR="00EA4BAD" w:rsidRPr="00202A49" w:rsidRDefault="00EA4BAD" w:rsidP="00EA4BAD">
                            <w:pPr>
                              <w:spacing w:before="20" w:after="20" w:line="240" w:lineRule="auto"/>
                              <w:jc w:val="left"/>
                              <w:rPr>
                                <w:sz w:val="20"/>
                                <w:szCs w:val="20"/>
                              </w:rPr>
                            </w:pPr>
                            <w:r>
                              <w:rPr>
                                <w:sz w:val="20"/>
                                <w:szCs w:val="20"/>
                              </w:rPr>
                              <w:t>Value AUD^</w:t>
                            </w:r>
                          </w:p>
                        </w:tc>
                        <w:tc>
                          <w:tcPr>
                            <w:tcW w:w="3288" w:type="dxa"/>
                            <w:tcBorders>
                              <w:top w:val="single" w:sz="12" w:space="0" w:color="auto"/>
                              <w:bottom w:val="single" w:sz="6" w:space="0" w:color="auto"/>
                            </w:tcBorders>
                          </w:tcPr>
                          <w:p w14:paraId="125C262F" w14:textId="77777777" w:rsidR="00EA4BAD" w:rsidRPr="00202A49" w:rsidRDefault="00EA4BAD" w:rsidP="00EA4BAD">
                            <w:pPr>
                              <w:spacing w:before="20" w:after="20" w:line="240" w:lineRule="auto"/>
                              <w:rPr>
                                <w:sz w:val="20"/>
                                <w:szCs w:val="20"/>
                              </w:rPr>
                            </w:pPr>
                            <w:r w:rsidRPr="00202A49">
                              <w:rPr>
                                <w:sz w:val="20"/>
                                <w:szCs w:val="20"/>
                              </w:rPr>
                              <w:t>Data sources</w:t>
                            </w:r>
                            <w:r>
                              <w:rPr>
                                <w:sz w:val="20"/>
                                <w:szCs w:val="20"/>
                              </w:rPr>
                              <w:t xml:space="preserve"> and notes</w:t>
                            </w:r>
                          </w:p>
                        </w:tc>
                      </w:tr>
                      <w:tr w:rsidR="00EA4BAD" w:rsidRPr="00202A49" w14:paraId="5E3BE589" w14:textId="77777777" w:rsidTr="00173C76">
                        <w:tc>
                          <w:tcPr>
                            <w:tcW w:w="2572" w:type="dxa"/>
                            <w:tcBorders>
                              <w:top w:val="single" w:sz="6" w:space="0" w:color="auto"/>
                              <w:bottom w:val="single" w:sz="6" w:space="0" w:color="BFBFBF" w:themeColor="background1" w:themeShade="BF"/>
                            </w:tcBorders>
                          </w:tcPr>
                          <w:p w14:paraId="2EF1FA58" w14:textId="77777777" w:rsidR="00EA4BAD" w:rsidRPr="00202A49" w:rsidRDefault="00EA4BAD" w:rsidP="00EA4BAD">
                            <w:pPr>
                              <w:spacing w:before="40" w:after="40" w:line="240" w:lineRule="auto"/>
                              <w:rPr>
                                <w:sz w:val="20"/>
                                <w:szCs w:val="20"/>
                              </w:rPr>
                            </w:pPr>
                            <w:r>
                              <w:rPr>
                                <w:b/>
                                <w:sz w:val="20"/>
                                <w:szCs w:val="20"/>
                              </w:rPr>
                              <w:t>Costs of engagement in BSE ISS</w:t>
                            </w:r>
                          </w:p>
                        </w:tc>
                        <w:tc>
                          <w:tcPr>
                            <w:tcW w:w="1064" w:type="dxa"/>
                            <w:tcBorders>
                              <w:top w:val="single" w:sz="6" w:space="0" w:color="auto"/>
                              <w:bottom w:val="single" w:sz="6" w:space="0" w:color="BFBFBF" w:themeColor="background1" w:themeShade="BF"/>
                            </w:tcBorders>
                          </w:tcPr>
                          <w:p w14:paraId="141DDE5C" w14:textId="77777777" w:rsidR="00EA4BAD" w:rsidRPr="00BA6B60" w:rsidRDefault="00EA4BAD" w:rsidP="00EA4BAD">
                            <w:pPr>
                              <w:spacing w:before="40" w:after="40" w:line="240" w:lineRule="auto"/>
                              <w:ind w:left="33"/>
                              <w:rPr>
                                <w:i/>
                                <w:sz w:val="20"/>
                                <w:szCs w:val="20"/>
                              </w:rPr>
                            </w:pPr>
                          </w:p>
                        </w:tc>
                        <w:tc>
                          <w:tcPr>
                            <w:tcW w:w="1417" w:type="dxa"/>
                            <w:tcBorders>
                              <w:top w:val="single" w:sz="6" w:space="0" w:color="auto"/>
                              <w:bottom w:val="single" w:sz="6" w:space="0" w:color="BFBFBF" w:themeColor="background1" w:themeShade="BF"/>
                            </w:tcBorders>
                          </w:tcPr>
                          <w:p w14:paraId="58E82179" w14:textId="77777777" w:rsidR="00EA4BAD" w:rsidRPr="00202A49" w:rsidRDefault="00EA4BAD" w:rsidP="00EA4BAD">
                            <w:pPr>
                              <w:spacing w:before="40" w:after="40" w:line="240" w:lineRule="auto"/>
                              <w:rPr>
                                <w:sz w:val="20"/>
                                <w:szCs w:val="20"/>
                              </w:rPr>
                            </w:pPr>
                          </w:p>
                        </w:tc>
                        <w:tc>
                          <w:tcPr>
                            <w:tcW w:w="3288" w:type="dxa"/>
                            <w:tcBorders>
                              <w:top w:val="single" w:sz="6" w:space="0" w:color="auto"/>
                              <w:bottom w:val="single" w:sz="6" w:space="0" w:color="BFBFBF" w:themeColor="background1" w:themeShade="BF"/>
                            </w:tcBorders>
                          </w:tcPr>
                          <w:p w14:paraId="5C5905AF" w14:textId="77777777" w:rsidR="00EA4BAD" w:rsidRPr="00202A49" w:rsidRDefault="00EA4BAD" w:rsidP="00EA4BAD">
                            <w:pPr>
                              <w:spacing w:before="40" w:after="40" w:line="240" w:lineRule="auto"/>
                              <w:rPr>
                                <w:sz w:val="20"/>
                                <w:szCs w:val="20"/>
                              </w:rPr>
                            </w:pPr>
                          </w:p>
                        </w:tc>
                      </w:tr>
                      <w:tr w:rsidR="00EA4BAD" w:rsidRPr="00202A49" w14:paraId="7E990E9A" w14:textId="77777777" w:rsidTr="00173C76">
                        <w:tc>
                          <w:tcPr>
                            <w:tcW w:w="2572" w:type="dxa"/>
                            <w:tcBorders>
                              <w:top w:val="single" w:sz="6" w:space="0" w:color="BFBFBF" w:themeColor="background1" w:themeShade="BF"/>
                              <w:bottom w:val="single" w:sz="6" w:space="0" w:color="BFBFBF" w:themeColor="background1" w:themeShade="BF"/>
                            </w:tcBorders>
                          </w:tcPr>
                          <w:p w14:paraId="3AE1A63E" w14:textId="77777777" w:rsidR="00EA4BAD" w:rsidRDefault="00EA4BAD" w:rsidP="00EA4BAD">
                            <w:pPr>
                              <w:spacing w:before="40" w:after="40" w:line="240" w:lineRule="auto"/>
                              <w:ind w:left="113"/>
                              <w:jc w:val="left"/>
                              <w:rPr>
                                <w:sz w:val="20"/>
                                <w:szCs w:val="20"/>
                              </w:rPr>
                            </w:pPr>
                            <w:r>
                              <w:rPr>
                                <w:sz w:val="20"/>
                                <w:szCs w:val="20"/>
                              </w:rPr>
                              <w:t>Annual cost of WOAH membership</w:t>
                            </w:r>
                          </w:p>
                        </w:tc>
                        <w:tc>
                          <w:tcPr>
                            <w:tcW w:w="1064" w:type="dxa"/>
                            <w:tcBorders>
                              <w:top w:val="single" w:sz="6" w:space="0" w:color="BFBFBF" w:themeColor="background1" w:themeShade="BF"/>
                              <w:bottom w:val="single" w:sz="6" w:space="0" w:color="BFBFBF" w:themeColor="background1" w:themeShade="BF"/>
                            </w:tcBorders>
                          </w:tcPr>
                          <w:p w14:paraId="7DB35A75" w14:textId="77777777" w:rsidR="00EA4BAD" w:rsidRDefault="00EA4BAD" w:rsidP="00EA4BAD">
                            <w:pPr>
                              <w:spacing w:before="40" w:after="40" w:line="240" w:lineRule="auto"/>
                              <w:ind w:left="33"/>
                              <w:rPr>
                                <w:i/>
                                <w:sz w:val="20"/>
                                <w:szCs w:val="20"/>
                              </w:rPr>
                            </w:pPr>
                            <w:r>
                              <w:rPr>
                                <w:i/>
                                <w:sz w:val="20"/>
                                <w:szCs w:val="20"/>
                              </w:rPr>
                              <w:t>Mem</w:t>
                            </w:r>
                          </w:p>
                        </w:tc>
                        <w:tc>
                          <w:tcPr>
                            <w:tcW w:w="1417" w:type="dxa"/>
                            <w:tcBorders>
                              <w:top w:val="single" w:sz="6" w:space="0" w:color="BFBFBF" w:themeColor="background1" w:themeShade="BF"/>
                              <w:bottom w:val="single" w:sz="6" w:space="0" w:color="BFBFBF" w:themeColor="background1" w:themeShade="BF"/>
                            </w:tcBorders>
                          </w:tcPr>
                          <w:p w14:paraId="64A234B6" w14:textId="77777777" w:rsidR="00EA4BAD" w:rsidRDefault="00EA4BAD" w:rsidP="00EA4BAD">
                            <w:pPr>
                              <w:spacing w:before="40" w:after="40" w:line="240" w:lineRule="auto"/>
                              <w:jc w:val="left"/>
                              <w:rPr>
                                <w:sz w:val="20"/>
                                <w:szCs w:val="20"/>
                              </w:rPr>
                            </w:pPr>
                            <w:r>
                              <w:rPr>
                                <w:sz w:val="20"/>
                                <w:szCs w:val="20"/>
                              </w:rPr>
                              <w:t>$426,423</w:t>
                            </w:r>
                          </w:p>
                        </w:tc>
                        <w:tc>
                          <w:tcPr>
                            <w:tcW w:w="3288" w:type="dxa"/>
                            <w:tcBorders>
                              <w:top w:val="single" w:sz="6" w:space="0" w:color="BFBFBF" w:themeColor="background1" w:themeShade="BF"/>
                              <w:bottom w:val="single" w:sz="6" w:space="0" w:color="BFBFBF" w:themeColor="background1" w:themeShade="BF"/>
                            </w:tcBorders>
                          </w:tcPr>
                          <w:p w14:paraId="3DCD0DD9" w14:textId="77777777" w:rsidR="00EA4BAD" w:rsidRPr="00235714" w:rsidRDefault="00EA4BAD" w:rsidP="00EA4BAD">
                            <w:pPr>
                              <w:spacing w:before="0" w:line="240" w:lineRule="auto"/>
                              <w:rPr>
                                <w:sz w:val="20"/>
                                <w:szCs w:val="20"/>
                              </w:rPr>
                            </w:pPr>
                            <w:r>
                              <w:rPr>
                                <w:sz w:val="20"/>
                                <w:szCs w:val="20"/>
                              </w:rPr>
                              <w:t xml:space="preserve">Australia pays annual membership fees (statutory contributions) as a Category 1 country. The average of Category 1 fees for </w:t>
                            </w:r>
                            <w:r w:rsidRPr="0036248C">
                              <w:rPr>
                                <w:sz w:val="20"/>
                                <w:szCs w:val="20"/>
                              </w:rPr>
                              <w:t>2019-2023</w:t>
                            </w:r>
                            <w:r>
                              <w:rPr>
                                <w:sz w:val="20"/>
                                <w:szCs w:val="20"/>
                              </w:rPr>
                              <w:t xml:space="preserve"> were taken from annual WOAH documents detailing </w:t>
                            </w:r>
                            <w:r>
                              <w:rPr>
                                <w:i/>
                                <w:iCs/>
                                <w:sz w:val="20"/>
                                <w:szCs w:val="20"/>
                              </w:rPr>
                              <w:t xml:space="preserve">Financial contributions from WOAH Members for </w:t>
                            </w:r>
                            <w:r w:rsidRPr="00FF765F">
                              <w:rPr>
                                <w:i/>
                                <w:iCs/>
                                <w:sz w:val="20"/>
                                <w:szCs w:val="20"/>
                              </w:rPr>
                              <w:t>20</w:t>
                            </w:r>
                            <w:r>
                              <w:rPr>
                                <w:i/>
                                <w:iCs/>
                                <w:sz w:val="20"/>
                                <w:szCs w:val="20"/>
                              </w:rPr>
                              <w:t xml:space="preserve">24; </w:t>
                            </w:r>
                            <w:r w:rsidRPr="001D01A8">
                              <w:rPr>
                                <w:sz w:val="20"/>
                                <w:szCs w:val="20"/>
                              </w:rPr>
                              <w:t>AUD/€</w:t>
                            </w:r>
                            <w:r>
                              <w:rPr>
                                <w:sz w:val="20"/>
                                <w:szCs w:val="20"/>
                              </w:rPr>
                              <w:t>=1.63</w:t>
                            </w:r>
                          </w:p>
                        </w:tc>
                      </w:tr>
                      <w:tr w:rsidR="00EA4BAD" w:rsidRPr="00202A49" w14:paraId="0C57DFD7" w14:textId="77777777" w:rsidTr="00173C76">
                        <w:tc>
                          <w:tcPr>
                            <w:tcW w:w="2572" w:type="dxa"/>
                            <w:tcBorders>
                              <w:top w:val="single" w:sz="6" w:space="0" w:color="BFBFBF" w:themeColor="background1" w:themeShade="BF"/>
                              <w:bottom w:val="single" w:sz="6" w:space="0" w:color="BFBFBF" w:themeColor="background1" w:themeShade="BF"/>
                            </w:tcBorders>
                          </w:tcPr>
                          <w:p w14:paraId="50D222CE" w14:textId="1460FA36" w:rsidR="00EA4BAD" w:rsidRDefault="00EA4BAD" w:rsidP="00EA4BAD">
                            <w:pPr>
                              <w:spacing w:before="40" w:after="40" w:line="240" w:lineRule="auto"/>
                              <w:ind w:left="113"/>
                              <w:jc w:val="left"/>
                              <w:rPr>
                                <w:sz w:val="20"/>
                                <w:szCs w:val="20"/>
                              </w:rPr>
                            </w:pPr>
                            <w:r>
                              <w:rPr>
                                <w:sz w:val="20"/>
                                <w:szCs w:val="20"/>
                              </w:rPr>
                              <w:t>Annual Australian voluntary contributions to WOAH</w:t>
                            </w:r>
                          </w:p>
                        </w:tc>
                        <w:tc>
                          <w:tcPr>
                            <w:tcW w:w="1064" w:type="dxa"/>
                            <w:tcBorders>
                              <w:top w:val="single" w:sz="6" w:space="0" w:color="BFBFBF" w:themeColor="background1" w:themeShade="BF"/>
                              <w:bottom w:val="single" w:sz="6" w:space="0" w:color="BFBFBF" w:themeColor="background1" w:themeShade="BF"/>
                            </w:tcBorders>
                          </w:tcPr>
                          <w:p w14:paraId="288E123A" w14:textId="77777777" w:rsidR="00EA4BAD" w:rsidRDefault="00EA4BAD" w:rsidP="00EA4BAD">
                            <w:pPr>
                              <w:spacing w:before="40" w:after="40" w:line="240" w:lineRule="auto"/>
                              <w:ind w:left="33"/>
                              <w:rPr>
                                <w:i/>
                                <w:sz w:val="20"/>
                                <w:szCs w:val="20"/>
                              </w:rPr>
                            </w:pPr>
                            <w:r>
                              <w:rPr>
                                <w:i/>
                                <w:sz w:val="20"/>
                                <w:szCs w:val="20"/>
                              </w:rPr>
                              <w:t>Dn</w:t>
                            </w:r>
                          </w:p>
                        </w:tc>
                        <w:tc>
                          <w:tcPr>
                            <w:tcW w:w="1417" w:type="dxa"/>
                            <w:tcBorders>
                              <w:top w:val="single" w:sz="6" w:space="0" w:color="BFBFBF" w:themeColor="background1" w:themeShade="BF"/>
                              <w:bottom w:val="single" w:sz="6" w:space="0" w:color="BFBFBF" w:themeColor="background1" w:themeShade="BF"/>
                            </w:tcBorders>
                          </w:tcPr>
                          <w:p w14:paraId="6D5E094B" w14:textId="77777777" w:rsidR="00EA4BAD" w:rsidRDefault="00EA4BAD" w:rsidP="00EA4BAD">
                            <w:pPr>
                              <w:spacing w:before="40" w:after="40" w:line="240" w:lineRule="auto"/>
                              <w:rPr>
                                <w:sz w:val="20"/>
                                <w:szCs w:val="20"/>
                              </w:rPr>
                            </w:pPr>
                            <w:r>
                              <w:rPr>
                                <w:sz w:val="20"/>
                                <w:szCs w:val="20"/>
                              </w:rPr>
                              <w:t>$3,089,542</w:t>
                            </w:r>
                          </w:p>
                        </w:tc>
                        <w:tc>
                          <w:tcPr>
                            <w:tcW w:w="3288" w:type="dxa"/>
                            <w:tcBorders>
                              <w:top w:val="single" w:sz="6" w:space="0" w:color="BFBFBF" w:themeColor="background1" w:themeShade="BF"/>
                              <w:bottom w:val="single" w:sz="6" w:space="0" w:color="BFBFBF" w:themeColor="background1" w:themeShade="BF"/>
                            </w:tcBorders>
                          </w:tcPr>
                          <w:p w14:paraId="4B97745D" w14:textId="77777777" w:rsidR="00EA4BAD" w:rsidRPr="00003283" w:rsidRDefault="00EA4BAD" w:rsidP="00EA4BAD">
                            <w:pPr>
                              <w:spacing w:before="40" w:after="40" w:line="240" w:lineRule="auto"/>
                              <w:jc w:val="left"/>
                              <w:rPr>
                                <w:sz w:val="20"/>
                                <w:szCs w:val="20"/>
                              </w:rPr>
                            </w:pPr>
                            <w:r>
                              <w:rPr>
                                <w:sz w:val="20"/>
                                <w:szCs w:val="20"/>
                              </w:rPr>
                              <w:t xml:space="preserve">World Fund Advisory Committee of WOAH; average 2019-2024; </w:t>
                            </w:r>
                            <w:r w:rsidRPr="00235714">
                              <w:rPr>
                                <w:sz w:val="20"/>
                                <w:szCs w:val="20"/>
                              </w:rPr>
                              <w:t>EUR=1.63AUD</w:t>
                            </w:r>
                          </w:p>
                        </w:tc>
                      </w:tr>
                      <w:tr w:rsidR="00EA4BAD" w:rsidRPr="00202A49" w14:paraId="76845B57" w14:textId="77777777" w:rsidTr="00173C76">
                        <w:tc>
                          <w:tcPr>
                            <w:tcW w:w="2572" w:type="dxa"/>
                            <w:tcBorders>
                              <w:top w:val="single" w:sz="6" w:space="0" w:color="BFBFBF" w:themeColor="background1" w:themeShade="BF"/>
                              <w:bottom w:val="single" w:sz="6" w:space="0" w:color="BFBFBF" w:themeColor="background1" w:themeShade="BF"/>
                            </w:tcBorders>
                          </w:tcPr>
                          <w:p w14:paraId="2232FC98" w14:textId="77777777" w:rsidR="00EA4BAD" w:rsidRDefault="00EA4BAD" w:rsidP="00EA4BAD">
                            <w:pPr>
                              <w:spacing w:before="40" w:after="40" w:line="240" w:lineRule="auto"/>
                              <w:ind w:left="113"/>
                              <w:jc w:val="left"/>
                              <w:rPr>
                                <w:sz w:val="20"/>
                                <w:szCs w:val="20"/>
                              </w:rPr>
                            </w:pPr>
                            <w:r>
                              <w:rPr>
                                <w:sz w:val="20"/>
                                <w:szCs w:val="20"/>
                              </w:rPr>
                              <w:t>Annual Travel costs</w:t>
                            </w:r>
                          </w:p>
                        </w:tc>
                        <w:tc>
                          <w:tcPr>
                            <w:tcW w:w="1064" w:type="dxa"/>
                            <w:tcBorders>
                              <w:top w:val="single" w:sz="6" w:space="0" w:color="BFBFBF" w:themeColor="background1" w:themeShade="BF"/>
                              <w:bottom w:val="single" w:sz="6" w:space="0" w:color="BFBFBF" w:themeColor="background1" w:themeShade="BF"/>
                            </w:tcBorders>
                          </w:tcPr>
                          <w:p w14:paraId="1911239F" w14:textId="77777777" w:rsidR="00EA4BAD" w:rsidRDefault="00EA4BAD" w:rsidP="00EA4BAD">
                            <w:pPr>
                              <w:spacing w:before="40" w:after="40" w:line="240" w:lineRule="auto"/>
                              <w:ind w:left="33"/>
                              <w:rPr>
                                <w:i/>
                                <w:sz w:val="20"/>
                                <w:szCs w:val="20"/>
                              </w:rPr>
                            </w:pPr>
                            <w:r>
                              <w:rPr>
                                <w:i/>
                                <w:sz w:val="20"/>
                                <w:szCs w:val="20"/>
                              </w:rPr>
                              <w:t>Tr</w:t>
                            </w:r>
                          </w:p>
                        </w:tc>
                        <w:tc>
                          <w:tcPr>
                            <w:tcW w:w="1417" w:type="dxa"/>
                            <w:tcBorders>
                              <w:top w:val="single" w:sz="6" w:space="0" w:color="BFBFBF" w:themeColor="background1" w:themeShade="BF"/>
                              <w:bottom w:val="single" w:sz="6" w:space="0" w:color="BFBFBF" w:themeColor="background1" w:themeShade="BF"/>
                            </w:tcBorders>
                          </w:tcPr>
                          <w:p w14:paraId="41903A6B" w14:textId="676BB0F2" w:rsidR="00EA4BAD" w:rsidRDefault="00EA4BAD" w:rsidP="00EA4BAD">
                            <w:pPr>
                              <w:spacing w:before="40" w:after="40" w:line="240" w:lineRule="auto"/>
                              <w:rPr>
                                <w:sz w:val="20"/>
                                <w:szCs w:val="20"/>
                              </w:rPr>
                            </w:pPr>
                            <w:r>
                              <w:rPr>
                                <w:sz w:val="20"/>
                                <w:szCs w:val="20"/>
                              </w:rPr>
                              <w:t>$85,344</w:t>
                            </w:r>
                          </w:p>
                        </w:tc>
                        <w:tc>
                          <w:tcPr>
                            <w:tcW w:w="3288" w:type="dxa"/>
                            <w:tcBorders>
                              <w:top w:val="single" w:sz="6" w:space="0" w:color="BFBFBF" w:themeColor="background1" w:themeShade="BF"/>
                              <w:bottom w:val="single" w:sz="6" w:space="0" w:color="BFBFBF" w:themeColor="background1" w:themeShade="BF"/>
                            </w:tcBorders>
                          </w:tcPr>
                          <w:p w14:paraId="551DE26D" w14:textId="77777777" w:rsidR="00EA4BAD" w:rsidRDefault="00EA4BAD" w:rsidP="00EA4BAD">
                            <w:pPr>
                              <w:spacing w:before="40" w:after="40" w:line="240" w:lineRule="auto"/>
                              <w:rPr>
                                <w:sz w:val="20"/>
                                <w:szCs w:val="20"/>
                              </w:rPr>
                            </w:pPr>
                            <w:r>
                              <w:rPr>
                                <w:sz w:val="20"/>
                                <w:szCs w:val="20"/>
                              </w:rPr>
                              <w:t>Three staff per year; DAFF OCVO</w:t>
                            </w:r>
                          </w:p>
                        </w:tc>
                      </w:tr>
                      <w:tr w:rsidR="00EA4BAD" w:rsidRPr="00202A49" w14:paraId="30A6F889" w14:textId="77777777" w:rsidTr="00173C76">
                        <w:tc>
                          <w:tcPr>
                            <w:tcW w:w="2572" w:type="dxa"/>
                            <w:tcBorders>
                              <w:top w:val="single" w:sz="6" w:space="0" w:color="BFBFBF" w:themeColor="background1" w:themeShade="BF"/>
                              <w:bottom w:val="single" w:sz="6" w:space="0" w:color="BFBFBF" w:themeColor="background1" w:themeShade="BF"/>
                            </w:tcBorders>
                          </w:tcPr>
                          <w:p w14:paraId="4EB12073" w14:textId="77777777" w:rsidR="00EA4BAD" w:rsidRDefault="00EA4BAD" w:rsidP="00EA4BAD">
                            <w:pPr>
                              <w:spacing w:before="40" w:after="40" w:line="240" w:lineRule="auto"/>
                              <w:ind w:left="113"/>
                              <w:jc w:val="left"/>
                              <w:rPr>
                                <w:sz w:val="20"/>
                                <w:szCs w:val="20"/>
                              </w:rPr>
                            </w:pPr>
                            <w:r>
                              <w:rPr>
                                <w:sz w:val="20"/>
                                <w:szCs w:val="20"/>
                              </w:rPr>
                              <w:t>Annual DAFF salary costs</w:t>
                            </w:r>
                          </w:p>
                        </w:tc>
                        <w:tc>
                          <w:tcPr>
                            <w:tcW w:w="1064" w:type="dxa"/>
                            <w:tcBorders>
                              <w:top w:val="single" w:sz="6" w:space="0" w:color="BFBFBF" w:themeColor="background1" w:themeShade="BF"/>
                              <w:bottom w:val="single" w:sz="6" w:space="0" w:color="BFBFBF" w:themeColor="background1" w:themeShade="BF"/>
                            </w:tcBorders>
                          </w:tcPr>
                          <w:p w14:paraId="7C36C1C0" w14:textId="77777777" w:rsidR="00EA4BAD" w:rsidRDefault="00EA4BAD" w:rsidP="00EA4BAD">
                            <w:pPr>
                              <w:spacing w:before="40" w:after="40" w:line="240" w:lineRule="auto"/>
                              <w:ind w:left="33"/>
                              <w:rPr>
                                <w:i/>
                                <w:sz w:val="20"/>
                                <w:szCs w:val="20"/>
                              </w:rPr>
                            </w:pPr>
                            <w:r>
                              <w:rPr>
                                <w:i/>
                                <w:sz w:val="20"/>
                                <w:szCs w:val="20"/>
                              </w:rPr>
                              <w:t>Sal</w:t>
                            </w:r>
                          </w:p>
                        </w:tc>
                        <w:tc>
                          <w:tcPr>
                            <w:tcW w:w="1417" w:type="dxa"/>
                            <w:tcBorders>
                              <w:top w:val="single" w:sz="6" w:space="0" w:color="BFBFBF" w:themeColor="background1" w:themeShade="BF"/>
                              <w:bottom w:val="single" w:sz="6" w:space="0" w:color="BFBFBF" w:themeColor="background1" w:themeShade="BF"/>
                            </w:tcBorders>
                          </w:tcPr>
                          <w:p w14:paraId="5BB3EB1E" w14:textId="77777777" w:rsidR="00EA4BAD" w:rsidRDefault="00EA4BAD" w:rsidP="00EA4BAD">
                            <w:pPr>
                              <w:spacing w:before="40" w:after="40" w:line="240" w:lineRule="auto"/>
                              <w:rPr>
                                <w:sz w:val="20"/>
                                <w:szCs w:val="20"/>
                              </w:rPr>
                            </w:pPr>
                            <w:r>
                              <w:rPr>
                                <w:sz w:val="20"/>
                                <w:szCs w:val="20"/>
                              </w:rPr>
                              <w:t>$415,343</w:t>
                            </w:r>
                          </w:p>
                        </w:tc>
                        <w:tc>
                          <w:tcPr>
                            <w:tcW w:w="3288" w:type="dxa"/>
                            <w:tcBorders>
                              <w:top w:val="single" w:sz="6" w:space="0" w:color="BFBFBF" w:themeColor="background1" w:themeShade="BF"/>
                              <w:bottom w:val="single" w:sz="6" w:space="0" w:color="BFBFBF" w:themeColor="background1" w:themeShade="BF"/>
                            </w:tcBorders>
                          </w:tcPr>
                          <w:p w14:paraId="204FCE38" w14:textId="77777777" w:rsidR="00EA4BAD" w:rsidRDefault="00EA4BAD" w:rsidP="00EA4BAD">
                            <w:pPr>
                              <w:spacing w:before="40" w:after="40" w:line="240" w:lineRule="auto"/>
                              <w:rPr>
                                <w:sz w:val="20"/>
                                <w:szCs w:val="20"/>
                              </w:rPr>
                            </w:pPr>
                            <w:r>
                              <w:rPr>
                                <w:sz w:val="20"/>
                                <w:szCs w:val="20"/>
                              </w:rPr>
                              <w:t xml:space="preserve">Three staff: </w:t>
                            </w:r>
                            <w:r w:rsidRPr="00D7407C">
                              <w:rPr>
                                <w:sz w:val="20"/>
                                <w:szCs w:val="20"/>
                              </w:rPr>
                              <w:t>Director, EL1, and APS6</w:t>
                            </w:r>
                          </w:p>
                        </w:tc>
                      </w:tr>
                      <w:tr w:rsidR="00EA4BAD" w:rsidRPr="00202A49" w14:paraId="6667B80A" w14:textId="77777777" w:rsidTr="00173C76">
                        <w:tc>
                          <w:tcPr>
                            <w:tcW w:w="2572" w:type="dxa"/>
                            <w:tcBorders>
                              <w:top w:val="single" w:sz="6" w:space="0" w:color="BFBFBF" w:themeColor="background1" w:themeShade="BF"/>
                              <w:bottom w:val="single" w:sz="4" w:space="0" w:color="auto"/>
                            </w:tcBorders>
                          </w:tcPr>
                          <w:p w14:paraId="10997078" w14:textId="77777777" w:rsidR="00EA4BAD" w:rsidRPr="001A0DDE" w:rsidRDefault="00EA4BAD" w:rsidP="008A451F">
                            <w:pPr>
                              <w:spacing w:before="40" w:after="40" w:line="240" w:lineRule="auto"/>
                              <w:jc w:val="left"/>
                              <w:rPr>
                                <w:b/>
                                <w:bCs/>
                                <w:sz w:val="20"/>
                                <w:szCs w:val="20"/>
                              </w:rPr>
                            </w:pPr>
                            <w:r w:rsidRPr="001A0DDE">
                              <w:rPr>
                                <w:b/>
                                <w:bCs/>
                                <w:sz w:val="20"/>
                                <w:szCs w:val="20"/>
                              </w:rPr>
                              <w:t>TOTAL</w:t>
                            </w:r>
                          </w:p>
                        </w:tc>
                        <w:tc>
                          <w:tcPr>
                            <w:tcW w:w="1064" w:type="dxa"/>
                            <w:tcBorders>
                              <w:top w:val="single" w:sz="6" w:space="0" w:color="BFBFBF" w:themeColor="background1" w:themeShade="BF"/>
                              <w:bottom w:val="single" w:sz="4" w:space="0" w:color="auto"/>
                            </w:tcBorders>
                          </w:tcPr>
                          <w:p w14:paraId="697C771F" w14:textId="77777777" w:rsidR="00EA4BAD" w:rsidRDefault="00EA4BAD" w:rsidP="00EA4BAD">
                            <w:pPr>
                              <w:spacing w:before="40" w:after="40" w:line="240" w:lineRule="auto"/>
                              <w:ind w:left="33"/>
                              <w:rPr>
                                <w:i/>
                                <w:sz w:val="20"/>
                                <w:szCs w:val="20"/>
                              </w:rPr>
                            </w:pPr>
                          </w:p>
                        </w:tc>
                        <w:tc>
                          <w:tcPr>
                            <w:tcW w:w="1417" w:type="dxa"/>
                            <w:tcBorders>
                              <w:top w:val="single" w:sz="6" w:space="0" w:color="BFBFBF" w:themeColor="background1" w:themeShade="BF"/>
                              <w:bottom w:val="single" w:sz="4" w:space="0" w:color="auto"/>
                            </w:tcBorders>
                          </w:tcPr>
                          <w:p w14:paraId="66F2BDB2" w14:textId="2970311F" w:rsidR="00EA4BAD" w:rsidRPr="00B127AB" w:rsidRDefault="00EA4BAD" w:rsidP="00EA4BAD">
                            <w:pPr>
                              <w:spacing w:before="40" w:after="40" w:line="240" w:lineRule="auto"/>
                              <w:rPr>
                                <w:b/>
                                <w:bCs/>
                                <w:sz w:val="20"/>
                                <w:szCs w:val="20"/>
                              </w:rPr>
                            </w:pPr>
                            <w:r w:rsidRPr="00B127AB">
                              <w:rPr>
                                <w:b/>
                                <w:bCs/>
                                <w:sz w:val="20"/>
                                <w:szCs w:val="20"/>
                              </w:rPr>
                              <w:t>$</w:t>
                            </w:r>
                            <w:r>
                              <w:rPr>
                                <w:b/>
                                <w:bCs/>
                                <w:sz w:val="20"/>
                                <w:szCs w:val="20"/>
                              </w:rPr>
                              <w:t>4,016,472</w:t>
                            </w:r>
                          </w:p>
                        </w:tc>
                        <w:tc>
                          <w:tcPr>
                            <w:tcW w:w="3288" w:type="dxa"/>
                            <w:tcBorders>
                              <w:top w:val="single" w:sz="6" w:space="0" w:color="BFBFBF" w:themeColor="background1" w:themeShade="BF"/>
                              <w:bottom w:val="single" w:sz="4" w:space="0" w:color="auto"/>
                            </w:tcBorders>
                          </w:tcPr>
                          <w:p w14:paraId="096442EA" w14:textId="77777777" w:rsidR="00EA4BAD" w:rsidRDefault="00EA4BAD" w:rsidP="00EA4BAD">
                            <w:pPr>
                              <w:spacing w:before="40" w:after="40" w:line="240" w:lineRule="auto"/>
                              <w:rPr>
                                <w:sz w:val="20"/>
                                <w:szCs w:val="20"/>
                              </w:rPr>
                            </w:pPr>
                          </w:p>
                        </w:tc>
                      </w:tr>
                    </w:tbl>
                    <w:p w14:paraId="340C37D7" w14:textId="77777777" w:rsidR="00EA4BAD" w:rsidRDefault="00EA4BAD" w:rsidP="00EA4BAD">
                      <w:pPr>
                        <w:spacing w:before="0" w:after="0" w:line="240" w:lineRule="auto"/>
                      </w:pPr>
                      <w:r w:rsidRPr="008D2255">
                        <w:rPr>
                          <w:b/>
                          <w:bCs/>
                          <w:sz w:val="18"/>
                          <w:szCs w:val="18"/>
                        </w:rPr>
                        <w:t>^</w:t>
                      </w:r>
                      <w:r w:rsidRPr="008D2255">
                        <w:rPr>
                          <w:sz w:val="18"/>
                          <w:szCs w:val="18"/>
                        </w:rPr>
                        <w:t xml:space="preserve"> All values have been adjusted to real </w:t>
                      </w:r>
                      <w:r>
                        <w:rPr>
                          <w:sz w:val="18"/>
                          <w:szCs w:val="18"/>
                        </w:rPr>
                        <w:t>2023-</w:t>
                      </w:r>
                      <w:r w:rsidRPr="008D2255">
                        <w:rPr>
                          <w:sz w:val="18"/>
                          <w:szCs w:val="18"/>
                        </w:rPr>
                        <w:t xml:space="preserve">2024 </w:t>
                      </w:r>
                      <w:r>
                        <w:rPr>
                          <w:sz w:val="18"/>
                          <w:szCs w:val="18"/>
                        </w:rPr>
                        <w:t>AUD</w:t>
                      </w:r>
                      <w:r w:rsidRPr="008D2255">
                        <w:rPr>
                          <w:sz w:val="18"/>
                          <w:szCs w:val="18"/>
                        </w:rPr>
                        <w:t xml:space="preserve"> using CPI-based inflation indices derived from ABS annual inflation rates (2019–2024)</w:t>
                      </w:r>
                      <w:r>
                        <w:rPr>
                          <w:sz w:val="18"/>
                          <w:szCs w:val="18"/>
                        </w:rPr>
                        <w:t xml:space="preserve"> </w:t>
                      </w:r>
                      <w:hyperlink r:id="rId34" w:history="1">
                        <w:r w:rsidRPr="007C26B7">
                          <w:rPr>
                            <w:rStyle w:val="Hyperlink"/>
                            <w:sz w:val="18"/>
                            <w:szCs w:val="18"/>
                          </w:rPr>
                          <w:t>https://www.abs.gov.au/statistics/economy/price-indexes-and-inflation/consumer-price-index-australia</w:t>
                        </w:r>
                      </w:hyperlink>
                    </w:p>
                  </w:txbxContent>
                </v:textbox>
                <w10:wrap type="square" anchorx="margin" anchory="margin"/>
              </v:shape>
            </w:pict>
          </mc:Fallback>
        </mc:AlternateContent>
      </w:r>
      <w:r w:rsidR="00830F35">
        <w:t>Data for use in calculating the cost of engagement is given in Table 2. Average annual costs of engagement are calculated as approximately $3.22 million (See also Appendix A).</w:t>
      </w:r>
    </w:p>
    <w:p w14:paraId="60A6DA6B" w14:textId="432DF1BB" w:rsidR="005E4A3B" w:rsidRDefault="007A58AB" w:rsidP="002E5846">
      <w:pPr>
        <w:pStyle w:val="Heading3"/>
      </w:pPr>
      <w:r>
        <w:t>Avoided outcome 1—</w:t>
      </w:r>
      <w:r w:rsidR="005E4A3B" w:rsidRPr="007A14DA">
        <w:t>Loss of negligible risk status</w:t>
      </w:r>
    </w:p>
    <w:p w14:paraId="43821A1D" w14:textId="73FC2D9A" w:rsidR="00F87E61" w:rsidRDefault="00744C80" w:rsidP="00F87E61">
      <w:bookmarkStart w:id="74" w:name="OLE_LINK1"/>
      <w:r w:rsidRPr="00744C80">
        <w:t>Trading partner reactions to a downgrade in official WOAH status cannot be fully anticipated and bilateral negotiations may mitigate some impact on exports</w:t>
      </w:r>
      <w:r>
        <w:t>.</w:t>
      </w:r>
      <w:r w:rsidRPr="00744C80">
        <w:t xml:space="preserve"> </w:t>
      </w:r>
      <w:r w:rsidR="0062000C">
        <w:t>H</w:t>
      </w:r>
      <w:r w:rsidR="0062000C" w:rsidRPr="00744C80">
        <w:t>owever,</w:t>
      </w:r>
      <w:r w:rsidRPr="00744C80">
        <w:t xml:space="preserve"> based on existing certification/protocol requirements it is reasonable to expect disruptions to all premium markets. As such, this analysis assumes immediate </w:t>
      </w:r>
      <w:r w:rsidR="00AD0BFE">
        <w:t>cessation of all exports of live cattle, red meat, and bovine rendered meals to Australia’s current premium markets</w:t>
      </w:r>
      <w:bookmarkEnd w:id="74"/>
      <w:r w:rsidR="00F24D38">
        <w:t>.</w:t>
      </w:r>
      <w:r w:rsidR="001B56A0">
        <w:t xml:space="preserve"> </w:t>
      </w:r>
      <w:r w:rsidR="008A15AF">
        <w:t>In the immediate term</w:t>
      </w:r>
      <w:r w:rsidR="00F7381E">
        <w:t xml:space="preserve">, </w:t>
      </w:r>
      <w:r w:rsidR="00C21676">
        <w:t>a portion</w:t>
      </w:r>
      <w:r w:rsidR="00F7381E">
        <w:t xml:space="preserve"> of the</w:t>
      </w:r>
      <w:r w:rsidR="008A15AF">
        <w:t xml:space="preserve"> </w:t>
      </w:r>
      <w:r w:rsidR="004B153E">
        <w:t xml:space="preserve">previously exported </w:t>
      </w:r>
      <w:r w:rsidR="0005383D">
        <w:t xml:space="preserve">product </w:t>
      </w:r>
      <w:r w:rsidR="007B4A13">
        <w:t xml:space="preserve">is likely to </w:t>
      </w:r>
      <w:r w:rsidR="00F87E61">
        <w:t xml:space="preserve">be absorbed by the domestic </w:t>
      </w:r>
      <w:r w:rsidR="001638F3">
        <w:t>market</w:t>
      </w:r>
      <w:r w:rsidR="00D04804">
        <w:t>,</w:t>
      </w:r>
      <w:r w:rsidR="00FD6CD6">
        <w:t xml:space="preserve"> with prices</w:t>
      </w:r>
      <w:r w:rsidR="00C21676">
        <w:t xml:space="preserve"> received by producers</w:t>
      </w:r>
      <w:r w:rsidR="00FD6CD6">
        <w:t xml:space="preserve"> falling due</w:t>
      </w:r>
      <w:r w:rsidR="0022096D">
        <w:t xml:space="preserve"> to greater supply</w:t>
      </w:r>
      <w:r w:rsidR="00F87E61">
        <w:t>.</w:t>
      </w:r>
      <w:r w:rsidR="00A05B49">
        <w:t xml:space="preserve"> </w:t>
      </w:r>
      <w:r w:rsidR="004B153E">
        <w:t xml:space="preserve">In the </w:t>
      </w:r>
      <w:r w:rsidR="004F5F0A">
        <w:t>short</w:t>
      </w:r>
      <w:r w:rsidR="004B153E">
        <w:t xml:space="preserve"> term it is likely that a</w:t>
      </w:r>
      <w:r w:rsidR="004B153E" w:rsidRPr="00E63291">
        <w:t xml:space="preserve"> portion</w:t>
      </w:r>
      <w:r w:rsidR="004B153E">
        <w:t xml:space="preserve"> of the previously exported products would </w:t>
      </w:r>
      <w:r w:rsidR="00C21676">
        <w:t xml:space="preserve">also </w:t>
      </w:r>
      <w:r w:rsidR="004B153E">
        <w:t xml:space="preserve">be redirected to lower value </w:t>
      </w:r>
      <w:r w:rsidR="00184AE6">
        <w:t xml:space="preserve">export </w:t>
      </w:r>
      <w:r w:rsidR="004B153E">
        <w:t>markets</w:t>
      </w:r>
      <w:r w:rsidR="00D04804">
        <w:t xml:space="preserve">. </w:t>
      </w:r>
      <w:r w:rsidR="00A05B49">
        <w:t xml:space="preserve">It is also </w:t>
      </w:r>
      <w:r w:rsidR="00F66566">
        <w:t xml:space="preserve">possible </w:t>
      </w:r>
      <w:r w:rsidR="00A05B49">
        <w:t xml:space="preserve">that loss of status would </w:t>
      </w:r>
      <w:r w:rsidR="009A1335">
        <w:t>result in</w:t>
      </w:r>
      <w:r w:rsidR="00A05B49">
        <w:t xml:space="preserve"> reputational damage to Australia</w:t>
      </w:r>
      <w:r w:rsidR="00F66566">
        <w:t xml:space="preserve"> which may have indirect effects on Australia’s trading relationship</w:t>
      </w:r>
      <w:r w:rsidR="00D34F73">
        <w:t>s</w:t>
      </w:r>
      <w:r w:rsidR="00F66566">
        <w:t xml:space="preserve"> across other commodities. </w:t>
      </w:r>
    </w:p>
    <w:p w14:paraId="39986B9A" w14:textId="68D20D5F" w:rsidR="00E73860" w:rsidRDefault="00062B7A" w:rsidP="005E4A3B">
      <w:r>
        <w:t>E</w:t>
      </w:r>
      <w:r w:rsidR="005E4A3B">
        <w:t>xports of live cattle</w:t>
      </w:r>
      <w:r>
        <w:t xml:space="preserve">, </w:t>
      </w:r>
      <w:r w:rsidR="005E4A3B">
        <w:t xml:space="preserve">red meat </w:t>
      </w:r>
      <w:r w:rsidR="00685CEA">
        <w:t xml:space="preserve">and rendered meals </w:t>
      </w:r>
      <w:r w:rsidR="00604988">
        <w:t xml:space="preserve">to premium markets </w:t>
      </w:r>
      <w:r w:rsidR="00B62B63">
        <w:t>are likely to</w:t>
      </w:r>
      <w:r w:rsidR="00685CEA">
        <w:t xml:space="preserve"> </w:t>
      </w:r>
      <w:r w:rsidR="005E4A3B">
        <w:t>restart once negligible risk status is regained</w:t>
      </w:r>
      <w:r w:rsidR="00685CEA">
        <w:t xml:space="preserve"> and, in the case of rendered meals, </w:t>
      </w:r>
      <w:r w:rsidR="0022096D">
        <w:t xml:space="preserve">once </w:t>
      </w:r>
      <w:r w:rsidR="00685CEA">
        <w:t xml:space="preserve">processes allow </w:t>
      </w:r>
      <w:r w:rsidR="0057172F">
        <w:t>production of</w:t>
      </w:r>
      <w:r w:rsidR="00685CEA">
        <w:t xml:space="preserve"> meals</w:t>
      </w:r>
      <w:r w:rsidR="007F413F">
        <w:t xml:space="preserve"> that do not contain any SRM</w:t>
      </w:r>
      <w:r w:rsidR="00E73860">
        <w:t xml:space="preserve"> and market access arrangements have been discussed with importing countries</w:t>
      </w:r>
      <w:r w:rsidR="00256F4C">
        <w:t xml:space="preserve">. </w:t>
      </w:r>
    </w:p>
    <w:p w14:paraId="03AB6B65" w14:textId="39094924" w:rsidR="00856971" w:rsidRPr="00167668" w:rsidRDefault="00256F4C" w:rsidP="005E4A3B">
      <w:r>
        <w:t xml:space="preserve">Regaining </w:t>
      </w:r>
      <w:r w:rsidR="002A7F5D">
        <w:t>trade at pre-cessation levels</w:t>
      </w:r>
      <w:r w:rsidR="007007CA">
        <w:t>, however,</w:t>
      </w:r>
      <w:r w:rsidR="002A7F5D">
        <w:t xml:space="preserve"> </w:t>
      </w:r>
      <w:r>
        <w:t>is unlikely</w:t>
      </w:r>
      <w:r w:rsidR="00540AC2">
        <w:t xml:space="preserve"> in the short and medium term</w:t>
      </w:r>
      <w:r w:rsidR="007007CA">
        <w:t>. This is</w:t>
      </w:r>
      <w:r>
        <w:t xml:space="preserve"> due to attitudes of importing countries to Australian products, competition </w:t>
      </w:r>
      <w:r>
        <w:lastRenderedPageBreak/>
        <w:t xml:space="preserve">from other exporting countries, changes to Australian domestic production in response </w:t>
      </w:r>
      <w:r w:rsidRPr="00167668">
        <w:t>to lower prices from larger supply on the domestic market (</w:t>
      </w:r>
      <w:r w:rsidR="00856971" w:rsidRPr="00167668">
        <w:t>e.g</w:t>
      </w:r>
      <w:r w:rsidR="00E62695" w:rsidRPr="00167668">
        <w:t>.</w:t>
      </w:r>
      <w:r w:rsidR="00856971" w:rsidRPr="00167668">
        <w:t xml:space="preserve"> see </w:t>
      </w:r>
      <w:r w:rsidRPr="00167668">
        <w:t xml:space="preserve">Buetre et al. 2013). </w:t>
      </w:r>
    </w:p>
    <w:p w14:paraId="48D51748" w14:textId="0BBC5784" w:rsidR="006564E2" w:rsidRPr="00167668" w:rsidRDefault="007B4A13" w:rsidP="00856971">
      <w:r w:rsidRPr="00167668">
        <w:t xml:space="preserve">Australia avoided a loss in export volumes because it avoided losing official BSE negligible status and therefore access to overseas markets </w:t>
      </w:r>
      <w:r w:rsidR="0096449E" w:rsidRPr="00167668">
        <w:t>The</w:t>
      </w:r>
      <w:r w:rsidR="000348D2" w:rsidRPr="00167668">
        <w:t xml:space="preserve"> </w:t>
      </w:r>
      <w:r w:rsidR="001A6CFC" w:rsidRPr="00167668">
        <w:t>calculat</w:t>
      </w:r>
      <w:r w:rsidR="0096449E" w:rsidRPr="00167668">
        <w:t>ion of</w:t>
      </w:r>
      <w:r w:rsidR="000348D2" w:rsidRPr="00167668">
        <w:t xml:space="preserve"> </w:t>
      </w:r>
      <w:r w:rsidR="00856971" w:rsidRPr="00167668">
        <w:t xml:space="preserve">avoided damages </w:t>
      </w:r>
      <w:r w:rsidR="009D34DD" w:rsidRPr="00167668">
        <w:t>from</w:t>
      </w:r>
      <w:r w:rsidR="00AC66CE" w:rsidRPr="00167668">
        <w:t xml:space="preserve"> </w:t>
      </w:r>
      <w:r w:rsidR="0096449E" w:rsidRPr="00167668">
        <w:t xml:space="preserve">loss of negligible risk status </w:t>
      </w:r>
      <w:r w:rsidR="00260683" w:rsidRPr="00167668">
        <w:t xml:space="preserve">in the current study </w:t>
      </w:r>
      <w:r w:rsidR="00E85F0E" w:rsidRPr="00167668">
        <w:t xml:space="preserve">is based </w:t>
      </w:r>
      <w:r w:rsidR="00260683" w:rsidRPr="00167668">
        <w:t xml:space="preserve">only </w:t>
      </w:r>
      <w:r w:rsidR="00E85F0E" w:rsidRPr="00167668">
        <w:t>on</w:t>
      </w:r>
      <w:r w:rsidR="00130EA9" w:rsidRPr="00167668">
        <w:t xml:space="preserve"> the value of</w:t>
      </w:r>
      <w:r w:rsidR="001A6CFC" w:rsidRPr="00167668">
        <w:t xml:space="preserve"> </w:t>
      </w:r>
      <w:r w:rsidR="003A5B99" w:rsidRPr="00167668">
        <w:t>los</w:t>
      </w:r>
      <w:r w:rsidR="00184AE6" w:rsidRPr="00167668">
        <w:t>t</w:t>
      </w:r>
      <w:r w:rsidR="003A5B99" w:rsidRPr="00167668">
        <w:t xml:space="preserve"> </w:t>
      </w:r>
      <w:r w:rsidR="00184AE6" w:rsidRPr="00167668">
        <w:t>export</w:t>
      </w:r>
      <w:r w:rsidR="00130EA9" w:rsidRPr="00167668">
        <w:t xml:space="preserve">s </w:t>
      </w:r>
      <w:r w:rsidR="005E7666" w:rsidRPr="00167668">
        <w:t xml:space="preserve">from </w:t>
      </w:r>
      <w:r w:rsidR="00130EA9" w:rsidRPr="00167668">
        <w:t>premium export markets in the 12-month period following the ban</w:t>
      </w:r>
      <w:r w:rsidR="00EA2119" w:rsidRPr="00167668">
        <w:t xml:space="preserve">, even though losses would continue to flow for many </w:t>
      </w:r>
      <w:r w:rsidR="006569E5" w:rsidRPr="00167668">
        <w:t>more</w:t>
      </w:r>
      <w:r w:rsidR="00EA2119" w:rsidRPr="00167668">
        <w:t xml:space="preserve"> years</w:t>
      </w:r>
      <w:r w:rsidR="0016445B" w:rsidRPr="00167668">
        <w:t xml:space="preserve">. </w:t>
      </w:r>
    </w:p>
    <w:p w14:paraId="6E9204D7" w14:textId="603163BF" w:rsidR="006B4D65" w:rsidRPr="00167668" w:rsidRDefault="00335F69" w:rsidP="006F0C2F">
      <w:r w:rsidRPr="00167668">
        <w:t xml:space="preserve">Additional modelling would be required to understand likely </w:t>
      </w:r>
      <w:r w:rsidR="0001248B" w:rsidRPr="00167668">
        <w:t>longer-term global and domestic</w:t>
      </w:r>
      <w:r w:rsidR="00A6176F" w:rsidRPr="00167668">
        <w:t xml:space="preserve"> changes to supply and demand for </w:t>
      </w:r>
      <w:r w:rsidR="00344F70" w:rsidRPr="00167668">
        <w:t xml:space="preserve">Australian </w:t>
      </w:r>
      <w:r w:rsidR="00A6176F" w:rsidRPr="00167668">
        <w:t>live cattle, red meat and rendered meals</w:t>
      </w:r>
      <w:r w:rsidR="00DA1D13" w:rsidRPr="00167668">
        <w:t xml:space="preserve">, and </w:t>
      </w:r>
      <w:r w:rsidR="00FA1EFE" w:rsidRPr="00167668">
        <w:t>thus the value of exports in the years following the loss of status</w:t>
      </w:r>
      <w:r w:rsidR="0001248B" w:rsidRPr="00167668">
        <w:t xml:space="preserve">. This modelling </w:t>
      </w:r>
      <w:r w:rsidR="006569E5" w:rsidRPr="00167668">
        <w:t xml:space="preserve">could be undertaken using </w:t>
      </w:r>
      <w:r w:rsidR="006F0C2F" w:rsidRPr="00167668">
        <w:t xml:space="preserve">a </w:t>
      </w:r>
      <w:r w:rsidR="006564E2" w:rsidRPr="00167668">
        <w:t>model such as GTAP (</w:t>
      </w:r>
      <w:r w:rsidR="00986632" w:rsidRPr="00167668">
        <w:t xml:space="preserve">Global Trade Analysis Project) </w:t>
      </w:r>
      <w:r w:rsidR="006F0C2F" w:rsidRPr="00167668">
        <w:t>an economy-wide computable general equilibrium model of world trade specified at an aggregate product level (Hertel, 1997</w:t>
      </w:r>
      <w:r w:rsidR="00217F8F" w:rsidRPr="00167668">
        <w:t>; Tsigas et al. 2008</w:t>
      </w:r>
      <w:r w:rsidR="00D74197" w:rsidRPr="00167668">
        <w:t>; Peterson et al. 2017</w:t>
      </w:r>
      <w:r w:rsidR="006F0C2F" w:rsidRPr="00167668">
        <w:t>)</w:t>
      </w:r>
      <w:r w:rsidR="00A94021" w:rsidRPr="00167668">
        <w:t xml:space="preserve">. </w:t>
      </w:r>
    </w:p>
    <w:p w14:paraId="108D74A0" w14:textId="209AFC5E" w:rsidR="00856971" w:rsidRPr="00167668" w:rsidRDefault="006B4D65" w:rsidP="006F0C2F">
      <w:r w:rsidRPr="00167668">
        <w:t>Sophisticated trade mod</w:t>
      </w:r>
      <w:r w:rsidR="00A94021" w:rsidRPr="00167668">
        <w:t xml:space="preserve">elling </w:t>
      </w:r>
      <w:r w:rsidR="00A6176F" w:rsidRPr="00167668">
        <w:t>was</w:t>
      </w:r>
      <w:r w:rsidR="0001248B" w:rsidRPr="00167668">
        <w:t xml:space="preserve"> not</w:t>
      </w:r>
      <w:r w:rsidR="00A6176F" w:rsidRPr="00167668">
        <w:t xml:space="preserve"> undertaken</w:t>
      </w:r>
      <w:r w:rsidR="005E398F" w:rsidRPr="00167668">
        <w:t>, nor required,</w:t>
      </w:r>
      <w:r w:rsidR="00A6176F" w:rsidRPr="00167668">
        <w:t xml:space="preserve"> in this </w:t>
      </w:r>
      <w:r w:rsidR="00BE1D6D" w:rsidRPr="00167668">
        <w:t>project</w:t>
      </w:r>
      <w:r w:rsidR="00A6176F" w:rsidRPr="00167668">
        <w:t xml:space="preserve">. </w:t>
      </w:r>
      <w:r w:rsidR="009731B1" w:rsidRPr="00167668">
        <w:t>Rather, we made a series of assumptions around prices</w:t>
      </w:r>
      <w:r w:rsidR="00972682" w:rsidRPr="00167668">
        <w:t xml:space="preserve"> and volumes.</w:t>
      </w:r>
      <w:r w:rsidR="00C87CED" w:rsidRPr="00167668">
        <w:t xml:space="preserve"> </w:t>
      </w:r>
      <w:r w:rsidR="00972682" w:rsidRPr="00167668">
        <w:t>I</w:t>
      </w:r>
      <w:r w:rsidR="00F01B92" w:rsidRPr="00167668">
        <w:t xml:space="preserve">t was </w:t>
      </w:r>
      <w:r w:rsidR="00BD13F7" w:rsidRPr="00167668">
        <w:t>assumed that all previously exported product would be consumed in the domestic market</w:t>
      </w:r>
      <w:r w:rsidR="00373432" w:rsidRPr="00167668">
        <w:t>, and produce</w:t>
      </w:r>
      <w:r w:rsidR="00EE51E5" w:rsidRPr="00167668">
        <w:t>r</w:t>
      </w:r>
      <w:r w:rsidR="00373432" w:rsidRPr="00167668">
        <w:t xml:space="preserve">s would receive </w:t>
      </w:r>
      <w:r w:rsidR="00652646" w:rsidRPr="00167668">
        <w:t>a significant price discount</w:t>
      </w:r>
      <w:r w:rsidR="00373432" w:rsidRPr="00167668">
        <w:t xml:space="preserve"> compared with the export price</w:t>
      </w:r>
      <w:r w:rsidR="00156042" w:rsidRPr="00167668">
        <w:t>.</w:t>
      </w:r>
      <w:r w:rsidR="007D0E6B" w:rsidRPr="00167668">
        <w:t xml:space="preserve"> For the purposes of the simple financial analysis we use the </w:t>
      </w:r>
      <w:r w:rsidR="00780248" w:rsidRPr="00167668">
        <w:t>average cattle saleyard prices in 2023-24 which were 466c per kg</w:t>
      </w:r>
      <w:r w:rsidR="002E1106" w:rsidRPr="00167668">
        <w:t xml:space="preserve"> carcase weight</w:t>
      </w:r>
      <w:r w:rsidR="004243B0" w:rsidRPr="00167668">
        <w:t xml:space="preserve"> (ABARES</w:t>
      </w:r>
      <w:r w:rsidR="00A16644" w:rsidRPr="00167668">
        <w:t xml:space="preserve"> 2024</w:t>
      </w:r>
      <w:r w:rsidR="002E1106" w:rsidRPr="00167668">
        <w:t>) and appl</w:t>
      </w:r>
      <w:r w:rsidR="00373432" w:rsidRPr="00167668">
        <w:t>ied</w:t>
      </w:r>
      <w:r w:rsidR="002E1106" w:rsidRPr="00167668">
        <w:t xml:space="preserve"> this to the </w:t>
      </w:r>
      <w:r w:rsidR="004243B0" w:rsidRPr="00167668">
        <w:t>volume of beef and veal exported in that year</w:t>
      </w:r>
      <w:r w:rsidR="00A16644" w:rsidRPr="00167668">
        <w:t xml:space="preserve">. </w:t>
      </w:r>
    </w:p>
    <w:p w14:paraId="5EF0A5CE" w14:textId="7DD50871" w:rsidR="005E398F" w:rsidRPr="00167668" w:rsidRDefault="005E398F" w:rsidP="006F0C2F">
      <w:r w:rsidRPr="00167668">
        <w:t>In addition, only impacts in the year following the standard change were considered, when in reality the impacts would continue for an undetermined period. Impacts on other domestic livestock industries, particularly those producing goods that are substitutes in consumption (pork, poultry, lamb) are also anticipated but are not considered here.</w:t>
      </w:r>
      <w:r w:rsidR="00051E4F" w:rsidRPr="00167668">
        <w:t xml:space="preserve"> We acknowledge that these assumptions have limited the accuracy of the financial analysis reported in this document.</w:t>
      </w:r>
    </w:p>
    <w:p w14:paraId="29E1D7DF" w14:textId="674918F5" w:rsidR="0089330A" w:rsidRDefault="0089330A" w:rsidP="00856971">
      <w:r w:rsidRPr="00167668">
        <w:t>Assumptions around the calculation of avoided impacts from loss of negligible risk</w:t>
      </w:r>
      <w:r>
        <w:t xml:space="preserve"> status are as follows: </w:t>
      </w:r>
    </w:p>
    <w:p w14:paraId="2D24DB8B" w14:textId="54CCB2E3" w:rsidR="00856971" w:rsidRDefault="00856971" w:rsidP="00856971">
      <w:pPr>
        <w:pStyle w:val="ListParagraph"/>
        <w:numPr>
          <w:ilvl w:val="0"/>
          <w:numId w:val="19"/>
        </w:numPr>
      </w:pPr>
      <w:r>
        <w:t xml:space="preserve">Exports of </w:t>
      </w:r>
      <w:r w:rsidR="00090CD3">
        <w:t>live cattle</w:t>
      </w:r>
      <w:r>
        <w:t xml:space="preserve">, red meat and bovine rendered meals </w:t>
      </w:r>
      <w:r w:rsidR="006B5670">
        <w:t xml:space="preserve">immediately </w:t>
      </w:r>
      <w:r>
        <w:t xml:space="preserve">cease </w:t>
      </w:r>
      <w:r w:rsidR="00AD72EA">
        <w:t>to</w:t>
      </w:r>
      <w:r>
        <w:t xml:space="preserve"> all </w:t>
      </w:r>
      <w:r w:rsidR="008A2F8D">
        <w:t xml:space="preserve">current </w:t>
      </w:r>
      <w:r>
        <w:t>export markets</w:t>
      </w:r>
      <w:r w:rsidR="0057172F">
        <w:t>.</w:t>
      </w:r>
    </w:p>
    <w:p w14:paraId="1174F4AA" w14:textId="6EF82265" w:rsidR="00153B45" w:rsidRDefault="00153B45" w:rsidP="00153B45">
      <w:pPr>
        <w:pStyle w:val="ListParagraph"/>
        <w:numPr>
          <w:ilvl w:val="0"/>
          <w:numId w:val="19"/>
        </w:numPr>
      </w:pPr>
      <w:r>
        <w:t xml:space="preserve">Export quantities and values for </w:t>
      </w:r>
      <w:r w:rsidRPr="00E63291">
        <w:t>2023</w:t>
      </w:r>
      <w:r w:rsidR="00DA1F1C" w:rsidRPr="00E63291">
        <w:t>-2024</w:t>
      </w:r>
      <w:r w:rsidRPr="00E63291">
        <w:t xml:space="preserve"> </w:t>
      </w:r>
      <w:r>
        <w:t xml:space="preserve">are used </w:t>
      </w:r>
      <w:r w:rsidR="00EE51E5">
        <w:t>in</w:t>
      </w:r>
      <w:r w:rsidR="001721BB">
        <w:t xml:space="preserve"> loss</w:t>
      </w:r>
      <w:r w:rsidR="00C248BE">
        <w:t xml:space="preserve"> </w:t>
      </w:r>
      <w:r>
        <w:t>calculations</w:t>
      </w:r>
      <w:r w:rsidR="009C7409">
        <w:t xml:space="preserve"> for exports</w:t>
      </w:r>
      <w:r w:rsidR="001C3BEF">
        <w:t>.</w:t>
      </w:r>
    </w:p>
    <w:p w14:paraId="2568CAEC" w14:textId="68077256" w:rsidR="00EE51E5" w:rsidRPr="00856971" w:rsidRDefault="00676C21" w:rsidP="00153B45">
      <w:pPr>
        <w:pStyle w:val="ListParagraph"/>
        <w:numPr>
          <w:ilvl w:val="0"/>
          <w:numId w:val="19"/>
        </w:numPr>
      </w:pPr>
      <w:r>
        <w:t>The 2023-24 average domestic saleyard price is used to calculate the value producers receive from domestic sales of product that otherwise would have been exported</w:t>
      </w:r>
    </w:p>
    <w:p w14:paraId="31565788" w14:textId="07452AB1" w:rsidR="005C716E" w:rsidRDefault="005C716E" w:rsidP="00A36717">
      <w:pPr>
        <w:pStyle w:val="ListParagraph"/>
        <w:numPr>
          <w:ilvl w:val="0"/>
          <w:numId w:val="19"/>
        </w:numPr>
      </w:pPr>
      <w:r w:rsidRPr="005C716E">
        <w:t>The goods produced from cattle production</w:t>
      </w:r>
      <w:r w:rsidR="007B4A13">
        <w:t xml:space="preserve"> that would be</w:t>
      </w:r>
      <w:r w:rsidRPr="005C716E">
        <w:t xml:space="preserve"> absorbed by the domestic market are not considered</w:t>
      </w:r>
    </w:p>
    <w:p w14:paraId="1C2F71C9" w14:textId="674F0793" w:rsidR="00800CA7" w:rsidRDefault="00800CA7" w:rsidP="00856971">
      <w:pPr>
        <w:pStyle w:val="ListParagraph"/>
        <w:numPr>
          <w:ilvl w:val="0"/>
          <w:numId w:val="19"/>
        </w:numPr>
      </w:pPr>
      <w:r>
        <w:t xml:space="preserve">Gains to domestic consumers from lower beef prices </w:t>
      </w:r>
      <w:r w:rsidR="00935636">
        <w:t>are</w:t>
      </w:r>
      <w:r>
        <w:t xml:space="preserve"> not considered</w:t>
      </w:r>
      <w:r w:rsidR="00584ECD">
        <w:t>.</w:t>
      </w:r>
    </w:p>
    <w:p w14:paraId="23E997C2" w14:textId="7A3947FC" w:rsidR="00A310AC" w:rsidRDefault="00A310AC" w:rsidP="00A310AC">
      <w:pPr>
        <w:pStyle w:val="ListParagraph"/>
        <w:numPr>
          <w:ilvl w:val="0"/>
          <w:numId w:val="19"/>
        </w:numPr>
      </w:pPr>
      <w:r>
        <w:t>Reputational damage to other Australian agricultural products is not considered.</w:t>
      </w:r>
    </w:p>
    <w:p w14:paraId="5995D54D" w14:textId="35F48229" w:rsidR="00131469" w:rsidRDefault="00C07E86" w:rsidP="00131469">
      <w:r>
        <w:lastRenderedPageBreak/>
        <w:t>Data and data sources used in calculating the</w:t>
      </w:r>
      <w:r w:rsidR="00131469">
        <w:t xml:space="preserve"> avoided </w:t>
      </w:r>
      <w:r>
        <w:t xml:space="preserve">impacts of </w:t>
      </w:r>
      <w:r w:rsidR="00131469">
        <w:t xml:space="preserve">outcome 1 are given in </w:t>
      </w:r>
      <w:r>
        <w:t xml:space="preserve">Table </w:t>
      </w:r>
      <w:r w:rsidR="003F236A">
        <w:t>3</w:t>
      </w:r>
      <w:r w:rsidR="0051700D">
        <w:t>.</w:t>
      </w:r>
    </w:p>
    <w:p w14:paraId="05C3E210" w14:textId="176111C1" w:rsidR="009954B8" w:rsidRDefault="009954B8" w:rsidP="00131469">
      <w:r>
        <w:rPr>
          <w:noProof/>
        </w:rPr>
        <mc:AlternateContent>
          <mc:Choice Requires="wps">
            <w:drawing>
              <wp:inline distT="0" distB="0" distL="0" distR="0" wp14:anchorId="01F2D669" wp14:editId="263846E7">
                <wp:extent cx="5278120" cy="8068665"/>
                <wp:effectExtent l="0" t="0" r="0" b="8890"/>
                <wp:docPr id="6365175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8120" cy="8068665"/>
                        </a:xfrm>
                        <a:prstGeom prst="rect">
                          <a:avLst/>
                        </a:prstGeom>
                        <a:solidFill>
                          <a:srgbClr val="FFFFFF"/>
                        </a:solidFill>
                        <a:ln w="9525">
                          <a:noFill/>
                          <a:miter lim="800000"/>
                          <a:headEnd/>
                          <a:tailEnd/>
                        </a:ln>
                      </wps:spPr>
                      <wps:txbx>
                        <w:txbxContent>
                          <w:p w14:paraId="24D26B28" w14:textId="66112FD6" w:rsidR="009954B8" w:rsidRPr="00EC6225" w:rsidRDefault="009954B8" w:rsidP="009954B8">
                            <w:pPr>
                              <w:pStyle w:val="Caption"/>
                            </w:pPr>
                            <w:bookmarkStart w:id="75" w:name="_Toc206083804"/>
                            <w:r>
                              <w:t xml:space="preserve">Table </w:t>
                            </w:r>
                            <w:r>
                              <w:fldChar w:fldCharType="begin"/>
                            </w:r>
                            <w:r>
                              <w:instrText xml:space="preserve"> SEQ Table \* ARABIC </w:instrText>
                            </w:r>
                            <w:r>
                              <w:fldChar w:fldCharType="separate"/>
                            </w:r>
                            <w:r w:rsidR="003D357A">
                              <w:rPr>
                                <w:noProof/>
                              </w:rPr>
                              <w:t>3</w:t>
                            </w:r>
                            <w:r>
                              <w:fldChar w:fldCharType="end"/>
                            </w:r>
                            <w:r>
                              <w:t xml:space="preserve">. </w:t>
                            </w:r>
                            <w:r w:rsidRPr="002E2D5B">
                              <w:t>Data and data sources used to calculate potential adverse outcomes of BSE changes</w:t>
                            </w:r>
                            <w:bookmarkEnd w:id="75"/>
                          </w:p>
                          <w:tbl>
                            <w:tblPr>
                              <w:tblStyle w:val="TableGrid"/>
                              <w:tblW w:w="8477" w:type="dxa"/>
                              <w:tblBorders>
                                <w:left w:val="none" w:sz="0" w:space="0" w:color="auto"/>
                                <w:right w:val="none" w:sz="0" w:space="0" w:color="auto"/>
                                <w:insideV w:val="none" w:sz="0" w:space="0" w:color="auto"/>
                              </w:tblBorders>
                              <w:tblLook w:val="04A0" w:firstRow="1" w:lastRow="0" w:firstColumn="1" w:lastColumn="0" w:noHBand="0" w:noVBand="1"/>
                            </w:tblPr>
                            <w:tblGrid>
                              <w:gridCol w:w="3686"/>
                              <w:gridCol w:w="1162"/>
                              <w:gridCol w:w="1248"/>
                              <w:gridCol w:w="2381"/>
                            </w:tblGrid>
                            <w:tr w:rsidR="009954B8" w:rsidRPr="00202A49" w14:paraId="72981EDA" w14:textId="77777777" w:rsidTr="00EA58F4">
                              <w:tc>
                                <w:tcPr>
                                  <w:tcW w:w="3686" w:type="dxa"/>
                                  <w:tcBorders>
                                    <w:top w:val="single" w:sz="12" w:space="0" w:color="auto"/>
                                    <w:bottom w:val="single" w:sz="6" w:space="0" w:color="auto"/>
                                  </w:tcBorders>
                                </w:tcPr>
                                <w:p w14:paraId="3765A504" w14:textId="77777777" w:rsidR="009954B8" w:rsidRPr="00202A49" w:rsidRDefault="009954B8" w:rsidP="00F76021">
                                  <w:pPr>
                                    <w:spacing w:before="20" w:after="20" w:line="240" w:lineRule="auto"/>
                                    <w:rPr>
                                      <w:sz w:val="20"/>
                                      <w:szCs w:val="20"/>
                                    </w:rPr>
                                  </w:pPr>
                                  <w:r w:rsidRPr="00202A49">
                                    <w:rPr>
                                      <w:sz w:val="20"/>
                                      <w:szCs w:val="20"/>
                                    </w:rPr>
                                    <w:t>Parameter/Variable</w:t>
                                  </w:r>
                                </w:p>
                              </w:tc>
                              <w:tc>
                                <w:tcPr>
                                  <w:tcW w:w="1162" w:type="dxa"/>
                                  <w:tcBorders>
                                    <w:top w:val="single" w:sz="12" w:space="0" w:color="auto"/>
                                    <w:bottom w:val="single" w:sz="6" w:space="0" w:color="auto"/>
                                  </w:tcBorders>
                                </w:tcPr>
                                <w:p w14:paraId="517848DE" w14:textId="77777777" w:rsidR="009954B8" w:rsidRPr="00202A49" w:rsidRDefault="009954B8" w:rsidP="00F76021">
                                  <w:pPr>
                                    <w:spacing w:before="20" w:after="20" w:line="240" w:lineRule="auto"/>
                                    <w:ind w:left="170"/>
                                    <w:rPr>
                                      <w:sz w:val="20"/>
                                      <w:szCs w:val="20"/>
                                    </w:rPr>
                                  </w:pPr>
                                  <w:r w:rsidRPr="00202A49">
                                    <w:rPr>
                                      <w:sz w:val="20"/>
                                      <w:szCs w:val="20"/>
                                    </w:rPr>
                                    <w:t>Notation</w:t>
                                  </w:r>
                                </w:p>
                              </w:tc>
                              <w:tc>
                                <w:tcPr>
                                  <w:tcW w:w="1248" w:type="dxa"/>
                                  <w:tcBorders>
                                    <w:top w:val="single" w:sz="12" w:space="0" w:color="auto"/>
                                    <w:bottom w:val="single" w:sz="6" w:space="0" w:color="auto"/>
                                  </w:tcBorders>
                                </w:tcPr>
                                <w:p w14:paraId="0E905241" w14:textId="77777777" w:rsidR="009954B8" w:rsidRPr="00202A49" w:rsidRDefault="009954B8" w:rsidP="00F76021">
                                  <w:pPr>
                                    <w:spacing w:before="20" w:after="20" w:line="240" w:lineRule="auto"/>
                                    <w:jc w:val="left"/>
                                    <w:rPr>
                                      <w:sz w:val="20"/>
                                      <w:szCs w:val="20"/>
                                    </w:rPr>
                                  </w:pPr>
                                  <w:r>
                                    <w:rPr>
                                      <w:sz w:val="20"/>
                                      <w:szCs w:val="20"/>
                                    </w:rPr>
                                    <w:t>Value</w:t>
                                  </w:r>
                                </w:p>
                              </w:tc>
                              <w:tc>
                                <w:tcPr>
                                  <w:tcW w:w="2381" w:type="dxa"/>
                                  <w:tcBorders>
                                    <w:top w:val="single" w:sz="12" w:space="0" w:color="auto"/>
                                    <w:bottom w:val="single" w:sz="6" w:space="0" w:color="auto"/>
                                  </w:tcBorders>
                                </w:tcPr>
                                <w:p w14:paraId="51B046C7" w14:textId="77777777" w:rsidR="009954B8" w:rsidRPr="00202A49" w:rsidRDefault="009954B8" w:rsidP="00F76021">
                                  <w:pPr>
                                    <w:spacing w:before="20" w:after="20" w:line="240" w:lineRule="auto"/>
                                    <w:rPr>
                                      <w:sz w:val="20"/>
                                      <w:szCs w:val="20"/>
                                    </w:rPr>
                                  </w:pPr>
                                  <w:r w:rsidRPr="00202A49">
                                    <w:rPr>
                                      <w:sz w:val="20"/>
                                      <w:szCs w:val="20"/>
                                    </w:rPr>
                                    <w:t>Data sources</w:t>
                                  </w:r>
                                  <w:r>
                                    <w:rPr>
                                      <w:sz w:val="20"/>
                                      <w:szCs w:val="20"/>
                                    </w:rPr>
                                    <w:t xml:space="preserve"> and notes</w:t>
                                  </w:r>
                                </w:p>
                              </w:tc>
                            </w:tr>
                            <w:tr w:rsidR="009954B8" w:rsidRPr="007A14DA" w14:paraId="60EFE5CA" w14:textId="77777777" w:rsidTr="00780468">
                              <w:trPr>
                                <w:trHeight w:val="510"/>
                              </w:trPr>
                              <w:tc>
                                <w:tcPr>
                                  <w:tcW w:w="3686" w:type="dxa"/>
                                  <w:tcBorders>
                                    <w:top w:val="single" w:sz="6" w:space="0" w:color="BFBFBF" w:themeColor="background1" w:themeShade="BF"/>
                                    <w:bottom w:val="single" w:sz="6" w:space="0" w:color="BFBFBF" w:themeColor="background1" w:themeShade="BF"/>
                                  </w:tcBorders>
                                  <w:vAlign w:val="bottom"/>
                                </w:tcPr>
                                <w:p w14:paraId="50E473E0" w14:textId="77777777" w:rsidR="009954B8" w:rsidRPr="007A14DA" w:rsidRDefault="009954B8" w:rsidP="00780468">
                                  <w:pPr>
                                    <w:spacing w:before="80" w:after="40" w:line="240" w:lineRule="auto"/>
                                    <w:jc w:val="left"/>
                                    <w:rPr>
                                      <w:b/>
                                      <w:sz w:val="20"/>
                                      <w:szCs w:val="20"/>
                                    </w:rPr>
                                  </w:pPr>
                                  <w:r>
                                    <w:rPr>
                                      <w:b/>
                                      <w:sz w:val="20"/>
                                      <w:szCs w:val="20"/>
                                    </w:rPr>
                                    <w:t xml:space="preserve">1. </w:t>
                                  </w:r>
                                  <w:r w:rsidRPr="007A14DA">
                                    <w:rPr>
                                      <w:b/>
                                      <w:sz w:val="20"/>
                                      <w:szCs w:val="20"/>
                                    </w:rPr>
                                    <w:t>Loss of negligible risk status</w:t>
                                  </w:r>
                                </w:p>
                              </w:tc>
                              <w:tc>
                                <w:tcPr>
                                  <w:tcW w:w="1162" w:type="dxa"/>
                                  <w:tcBorders>
                                    <w:top w:val="single" w:sz="6" w:space="0" w:color="BFBFBF" w:themeColor="background1" w:themeShade="BF"/>
                                    <w:bottom w:val="single" w:sz="6" w:space="0" w:color="BFBFBF" w:themeColor="background1" w:themeShade="BF"/>
                                  </w:tcBorders>
                                  <w:vAlign w:val="bottom"/>
                                </w:tcPr>
                                <w:p w14:paraId="673E3AC1" w14:textId="77777777" w:rsidR="009954B8" w:rsidRPr="007A14DA" w:rsidRDefault="009954B8" w:rsidP="00780468">
                                  <w:pPr>
                                    <w:spacing w:before="40" w:after="40" w:line="240" w:lineRule="auto"/>
                                    <w:ind w:left="170"/>
                                    <w:jc w:val="left"/>
                                    <w:rPr>
                                      <w:sz w:val="20"/>
                                      <w:szCs w:val="20"/>
                                    </w:rPr>
                                  </w:pPr>
                                </w:p>
                              </w:tc>
                              <w:tc>
                                <w:tcPr>
                                  <w:tcW w:w="1248" w:type="dxa"/>
                                  <w:tcBorders>
                                    <w:top w:val="single" w:sz="6" w:space="0" w:color="BFBFBF" w:themeColor="background1" w:themeShade="BF"/>
                                    <w:bottom w:val="single" w:sz="6" w:space="0" w:color="BFBFBF" w:themeColor="background1" w:themeShade="BF"/>
                                  </w:tcBorders>
                                  <w:vAlign w:val="bottom"/>
                                </w:tcPr>
                                <w:p w14:paraId="5960EAE8" w14:textId="77777777" w:rsidR="009954B8" w:rsidRPr="007A14DA" w:rsidRDefault="009954B8" w:rsidP="00780468">
                                  <w:pPr>
                                    <w:spacing w:before="40" w:after="40" w:line="240" w:lineRule="auto"/>
                                    <w:jc w:val="left"/>
                                    <w:rPr>
                                      <w:sz w:val="20"/>
                                      <w:szCs w:val="20"/>
                                    </w:rPr>
                                  </w:pPr>
                                </w:p>
                              </w:tc>
                              <w:tc>
                                <w:tcPr>
                                  <w:tcW w:w="2381" w:type="dxa"/>
                                  <w:tcBorders>
                                    <w:top w:val="single" w:sz="6" w:space="0" w:color="BFBFBF" w:themeColor="background1" w:themeShade="BF"/>
                                    <w:bottom w:val="single" w:sz="6" w:space="0" w:color="BFBFBF" w:themeColor="background1" w:themeShade="BF"/>
                                  </w:tcBorders>
                                  <w:vAlign w:val="bottom"/>
                                </w:tcPr>
                                <w:p w14:paraId="7620BC97" w14:textId="77777777" w:rsidR="009954B8" w:rsidRPr="007A14DA" w:rsidRDefault="009954B8" w:rsidP="00780468">
                                  <w:pPr>
                                    <w:spacing w:before="40" w:after="40" w:line="240" w:lineRule="auto"/>
                                    <w:jc w:val="left"/>
                                    <w:rPr>
                                      <w:sz w:val="20"/>
                                      <w:szCs w:val="20"/>
                                    </w:rPr>
                                  </w:pPr>
                                </w:p>
                              </w:tc>
                            </w:tr>
                            <w:tr w:rsidR="009954B8" w:rsidRPr="007A14DA" w14:paraId="37D5785B" w14:textId="77777777" w:rsidTr="00EA58F4">
                              <w:tc>
                                <w:tcPr>
                                  <w:tcW w:w="3686" w:type="dxa"/>
                                  <w:tcBorders>
                                    <w:top w:val="single" w:sz="6" w:space="0" w:color="BFBFBF" w:themeColor="background1" w:themeShade="BF"/>
                                    <w:bottom w:val="single" w:sz="6" w:space="0" w:color="BFBFBF" w:themeColor="background1" w:themeShade="BF"/>
                                  </w:tcBorders>
                                </w:tcPr>
                                <w:p w14:paraId="6E4F56D0" w14:textId="77777777" w:rsidR="009954B8" w:rsidRPr="007A14DA" w:rsidRDefault="009954B8" w:rsidP="00F76021">
                                  <w:pPr>
                                    <w:spacing w:before="40" w:after="40" w:line="240" w:lineRule="auto"/>
                                    <w:ind w:left="113"/>
                                    <w:rPr>
                                      <w:sz w:val="20"/>
                                      <w:szCs w:val="20"/>
                                    </w:rPr>
                                  </w:pPr>
                                  <w:r>
                                    <w:rPr>
                                      <w:sz w:val="20"/>
                                      <w:szCs w:val="20"/>
                                    </w:rPr>
                                    <w:t>Value of live cattle exports, AUD m</w:t>
                                  </w:r>
                                </w:p>
                              </w:tc>
                              <w:tc>
                                <w:tcPr>
                                  <w:tcW w:w="1162" w:type="dxa"/>
                                  <w:tcBorders>
                                    <w:top w:val="single" w:sz="6" w:space="0" w:color="BFBFBF" w:themeColor="background1" w:themeShade="BF"/>
                                    <w:bottom w:val="single" w:sz="6" w:space="0" w:color="BFBFBF" w:themeColor="background1" w:themeShade="BF"/>
                                  </w:tcBorders>
                                </w:tcPr>
                                <w:p w14:paraId="74C260FF" w14:textId="77777777" w:rsidR="009954B8" w:rsidRPr="007A14DA" w:rsidRDefault="009954B8" w:rsidP="00F76021">
                                  <w:pPr>
                                    <w:spacing w:before="40" w:after="40" w:line="240" w:lineRule="auto"/>
                                    <w:ind w:left="170"/>
                                    <w:rPr>
                                      <w:i/>
                                      <w:sz w:val="20"/>
                                      <w:szCs w:val="20"/>
                                    </w:rPr>
                                  </w:pPr>
                                  <w:r w:rsidRPr="007A14DA">
                                    <w:rPr>
                                      <w:i/>
                                      <w:sz w:val="20"/>
                                      <w:szCs w:val="20"/>
                                    </w:rPr>
                                    <w:t>LC</w:t>
                                  </w:r>
                                </w:p>
                              </w:tc>
                              <w:tc>
                                <w:tcPr>
                                  <w:tcW w:w="1248" w:type="dxa"/>
                                  <w:tcBorders>
                                    <w:top w:val="single" w:sz="6" w:space="0" w:color="BFBFBF" w:themeColor="background1" w:themeShade="BF"/>
                                    <w:bottom w:val="single" w:sz="6" w:space="0" w:color="BFBFBF" w:themeColor="background1" w:themeShade="BF"/>
                                  </w:tcBorders>
                                </w:tcPr>
                                <w:p w14:paraId="60100528" w14:textId="77777777" w:rsidR="009954B8" w:rsidRDefault="009954B8" w:rsidP="00F76021">
                                  <w:pPr>
                                    <w:spacing w:before="40" w:after="40" w:line="240" w:lineRule="auto"/>
                                    <w:jc w:val="left"/>
                                    <w:rPr>
                                      <w:sz w:val="20"/>
                                      <w:szCs w:val="20"/>
                                    </w:rPr>
                                  </w:pPr>
                                  <w:r>
                                    <w:rPr>
                                      <w:sz w:val="20"/>
                                      <w:szCs w:val="20"/>
                                    </w:rPr>
                                    <w:t>869.8</w:t>
                                  </w:r>
                                </w:p>
                              </w:tc>
                              <w:tc>
                                <w:tcPr>
                                  <w:tcW w:w="2381" w:type="dxa"/>
                                  <w:tcBorders>
                                    <w:top w:val="single" w:sz="6" w:space="0" w:color="BFBFBF" w:themeColor="background1" w:themeShade="BF"/>
                                    <w:bottom w:val="single" w:sz="6" w:space="0" w:color="BFBFBF" w:themeColor="background1" w:themeShade="BF"/>
                                  </w:tcBorders>
                                </w:tcPr>
                                <w:p w14:paraId="61A2A65F" w14:textId="77777777" w:rsidR="009954B8" w:rsidRPr="007A14DA" w:rsidRDefault="009954B8" w:rsidP="00F76021">
                                  <w:pPr>
                                    <w:spacing w:before="40" w:after="40" w:line="240" w:lineRule="auto"/>
                                    <w:jc w:val="left"/>
                                    <w:rPr>
                                      <w:sz w:val="20"/>
                                      <w:szCs w:val="20"/>
                                    </w:rPr>
                                  </w:pPr>
                                  <w:r>
                                    <w:rPr>
                                      <w:sz w:val="20"/>
                                      <w:szCs w:val="20"/>
                                    </w:rPr>
                                    <w:t>ABS, ABARES; 2023-24;</w:t>
                                  </w:r>
                                </w:p>
                              </w:tc>
                            </w:tr>
                            <w:tr w:rsidR="009954B8" w:rsidRPr="007A14DA" w14:paraId="556FBC59" w14:textId="77777777" w:rsidTr="00EA58F4">
                              <w:tc>
                                <w:tcPr>
                                  <w:tcW w:w="3686" w:type="dxa"/>
                                  <w:tcBorders>
                                    <w:top w:val="single" w:sz="6" w:space="0" w:color="BFBFBF" w:themeColor="background1" w:themeShade="BF"/>
                                    <w:bottom w:val="single" w:sz="6" w:space="0" w:color="BFBFBF" w:themeColor="background1" w:themeShade="BF"/>
                                  </w:tcBorders>
                                </w:tcPr>
                                <w:p w14:paraId="13771FD7" w14:textId="77777777" w:rsidR="009954B8" w:rsidRPr="007A14DA" w:rsidRDefault="009954B8" w:rsidP="00F76021">
                                  <w:pPr>
                                    <w:spacing w:before="40" w:after="40" w:line="240" w:lineRule="auto"/>
                                    <w:ind w:left="113"/>
                                    <w:rPr>
                                      <w:sz w:val="20"/>
                                      <w:szCs w:val="20"/>
                                    </w:rPr>
                                  </w:pPr>
                                  <w:r>
                                    <w:rPr>
                                      <w:sz w:val="20"/>
                                      <w:szCs w:val="20"/>
                                    </w:rPr>
                                    <w:t>Value of beef and veal exports, AUD m</w:t>
                                  </w:r>
                                </w:p>
                              </w:tc>
                              <w:tc>
                                <w:tcPr>
                                  <w:tcW w:w="1162" w:type="dxa"/>
                                  <w:tcBorders>
                                    <w:top w:val="single" w:sz="6" w:space="0" w:color="BFBFBF" w:themeColor="background1" w:themeShade="BF"/>
                                    <w:bottom w:val="single" w:sz="6" w:space="0" w:color="BFBFBF" w:themeColor="background1" w:themeShade="BF"/>
                                  </w:tcBorders>
                                </w:tcPr>
                                <w:p w14:paraId="5C0D3A58" w14:textId="77777777" w:rsidR="009954B8" w:rsidRPr="007A14DA" w:rsidRDefault="009954B8" w:rsidP="00F76021">
                                  <w:pPr>
                                    <w:spacing w:before="40" w:after="40" w:line="240" w:lineRule="auto"/>
                                    <w:ind w:left="170"/>
                                    <w:rPr>
                                      <w:i/>
                                      <w:sz w:val="20"/>
                                      <w:szCs w:val="20"/>
                                    </w:rPr>
                                  </w:pPr>
                                  <w:r>
                                    <w:rPr>
                                      <w:i/>
                                      <w:sz w:val="20"/>
                                      <w:szCs w:val="20"/>
                                    </w:rPr>
                                    <w:t>M</w:t>
                                  </w:r>
                                </w:p>
                              </w:tc>
                              <w:tc>
                                <w:tcPr>
                                  <w:tcW w:w="1248" w:type="dxa"/>
                                  <w:tcBorders>
                                    <w:top w:val="single" w:sz="6" w:space="0" w:color="BFBFBF" w:themeColor="background1" w:themeShade="BF"/>
                                    <w:bottom w:val="single" w:sz="6" w:space="0" w:color="BFBFBF" w:themeColor="background1" w:themeShade="BF"/>
                                  </w:tcBorders>
                                </w:tcPr>
                                <w:p w14:paraId="02842780" w14:textId="77777777" w:rsidR="009954B8" w:rsidRDefault="009954B8" w:rsidP="00F76021">
                                  <w:pPr>
                                    <w:spacing w:before="40" w:after="40" w:line="240" w:lineRule="auto"/>
                                    <w:rPr>
                                      <w:sz w:val="20"/>
                                      <w:szCs w:val="20"/>
                                    </w:rPr>
                                  </w:pPr>
                                  <w:r>
                                    <w:rPr>
                                      <w:sz w:val="20"/>
                                      <w:szCs w:val="20"/>
                                    </w:rPr>
                                    <w:t>12,407.8</w:t>
                                  </w:r>
                                </w:p>
                              </w:tc>
                              <w:tc>
                                <w:tcPr>
                                  <w:tcW w:w="2381" w:type="dxa"/>
                                  <w:tcBorders>
                                    <w:top w:val="single" w:sz="6" w:space="0" w:color="BFBFBF" w:themeColor="background1" w:themeShade="BF"/>
                                    <w:bottom w:val="single" w:sz="6" w:space="0" w:color="BFBFBF" w:themeColor="background1" w:themeShade="BF"/>
                                  </w:tcBorders>
                                </w:tcPr>
                                <w:p w14:paraId="22EC11B3" w14:textId="77777777" w:rsidR="009954B8" w:rsidRPr="007A14DA" w:rsidRDefault="009954B8" w:rsidP="00F76021">
                                  <w:pPr>
                                    <w:spacing w:before="40" w:after="40" w:line="240" w:lineRule="auto"/>
                                    <w:rPr>
                                      <w:sz w:val="20"/>
                                      <w:szCs w:val="20"/>
                                    </w:rPr>
                                  </w:pPr>
                                  <w:r w:rsidRPr="00870B1C">
                                    <w:rPr>
                                      <w:sz w:val="20"/>
                                      <w:szCs w:val="20"/>
                                    </w:rPr>
                                    <w:t>ABS, ABARES; 2023-24;</w:t>
                                  </w:r>
                                </w:p>
                              </w:tc>
                            </w:tr>
                            <w:tr w:rsidR="009954B8" w:rsidRPr="007A14DA" w14:paraId="124AFCAD" w14:textId="77777777" w:rsidTr="00EA58F4">
                              <w:tc>
                                <w:tcPr>
                                  <w:tcW w:w="3686" w:type="dxa"/>
                                  <w:tcBorders>
                                    <w:top w:val="single" w:sz="6" w:space="0" w:color="BFBFBF" w:themeColor="background1" w:themeShade="BF"/>
                                    <w:bottom w:val="single" w:sz="6" w:space="0" w:color="BFBFBF" w:themeColor="background1" w:themeShade="BF"/>
                                  </w:tcBorders>
                                </w:tcPr>
                                <w:p w14:paraId="3A997547" w14:textId="77777777" w:rsidR="009954B8" w:rsidRPr="007A14DA" w:rsidRDefault="009954B8" w:rsidP="00F76021">
                                  <w:pPr>
                                    <w:spacing w:before="40" w:after="40" w:line="240" w:lineRule="auto"/>
                                    <w:ind w:left="113"/>
                                    <w:rPr>
                                      <w:sz w:val="20"/>
                                      <w:szCs w:val="20"/>
                                    </w:rPr>
                                  </w:pPr>
                                  <w:r>
                                    <w:rPr>
                                      <w:sz w:val="20"/>
                                      <w:szCs w:val="20"/>
                                    </w:rPr>
                                    <w:t>Value of bovine rendered meals, AUD m</w:t>
                                  </w:r>
                                </w:p>
                              </w:tc>
                              <w:tc>
                                <w:tcPr>
                                  <w:tcW w:w="1162" w:type="dxa"/>
                                  <w:tcBorders>
                                    <w:top w:val="single" w:sz="6" w:space="0" w:color="BFBFBF" w:themeColor="background1" w:themeShade="BF"/>
                                    <w:bottom w:val="single" w:sz="6" w:space="0" w:color="BFBFBF" w:themeColor="background1" w:themeShade="BF"/>
                                  </w:tcBorders>
                                </w:tcPr>
                                <w:p w14:paraId="2C35018E" w14:textId="77777777" w:rsidR="009954B8" w:rsidRPr="007A14DA" w:rsidRDefault="009954B8" w:rsidP="00F76021">
                                  <w:pPr>
                                    <w:spacing w:before="40" w:after="40" w:line="240" w:lineRule="auto"/>
                                    <w:ind w:left="170"/>
                                    <w:rPr>
                                      <w:i/>
                                      <w:sz w:val="20"/>
                                      <w:szCs w:val="20"/>
                                    </w:rPr>
                                  </w:pPr>
                                  <w:r>
                                    <w:rPr>
                                      <w:i/>
                                      <w:sz w:val="20"/>
                                      <w:szCs w:val="20"/>
                                    </w:rPr>
                                    <w:t>BR</w:t>
                                  </w:r>
                                </w:p>
                              </w:tc>
                              <w:tc>
                                <w:tcPr>
                                  <w:tcW w:w="1248" w:type="dxa"/>
                                  <w:tcBorders>
                                    <w:top w:val="single" w:sz="6" w:space="0" w:color="BFBFBF" w:themeColor="background1" w:themeShade="BF"/>
                                    <w:bottom w:val="single" w:sz="6" w:space="0" w:color="BFBFBF" w:themeColor="background1" w:themeShade="BF"/>
                                  </w:tcBorders>
                                </w:tcPr>
                                <w:p w14:paraId="0889797C" w14:textId="77777777" w:rsidR="009954B8" w:rsidRDefault="009954B8" w:rsidP="00F76021">
                                  <w:pPr>
                                    <w:spacing w:before="40" w:after="40" w:line="240" w:lineRule="auto"/>
                                    <w:rPr>
                                      <w:sz w:val="20"/>
                                      <w:szCs w:val="20"/>
                                    </w:rPr>
                                  </w:pPr>
                                  <w:r>
                                    <w:rPr>
                                      <w:sz w:val="20"/>
                                      <w:szCs w:val="20"/>
                                    </w:rPr>
                                    <w:t>1,556.0</w:t>
                                  </w:r>
                                </w:p>
                              </w:tc>
                              <w:tc>
                                <w:tcPr>
                                  <w:tcW w:w="2381" w:type="dxa"/>
                                  <w:tcBorders>
                                    <w:top w:val="single" w:sz="6" w:space="0" w:color="BFBFBF" w:themeColor="background1" w:themeShade="BF"/>
                                    <w:bottom w:val="single" w:sz="6" w:space="0" w:color="BFBFBF" w:themeColor="background1" w:themeShade="BF"/>
                                  </w:tcBorders>
                                </w:tcPr>
                                <w:p w14:paraId="1D0635CF" w14:textId="77777777" w:rsidR="009954B8" w:rsidRPr="007A14DA" w:rsidRDefault="009954B8" w:rsidP="00F76021">
                                  <w:pPr>
                                    <w:spacing w:before="40" w:after="40" w:line="240" w:lineRule="auto"/>
                                    <w:rPr>
                                      <w:sz w:val="20"/>
                                      <w:szCs w:val="20"/>
                                    </w:rPr>
                                  </w:pPr>
                                  <w:r w:rsidRPr="00870B1C">
                                    <w:rPr>
                                      <w:sz w:val="20"/>
                                      <w:szCs w:val="20"/>
                                    </w:rPr>
                                    <w:t>ABS, ABARES; 2023-24;</w:t>
                                  </w:r>
                                </w:p>
                              </w:tc>
                            </w:tr>
                            <w:tr w:rsidR="009954B8" w:rsidRPr="007A14DA" w14:paraId="4CB09A6C" w14:textId="77777777" w:rsidTr="00EA58F4">
                              <w:tc>
                                <w:tcPr>
                                  <w:tcW w:w="3686" w:type="dxa"/>
                                  <w:tcBorders>
                                    <w:top w:val="single" w:sz="6" w:space="0" w:color="BFBFBF" w:themeColor="background1" w:themeShade="BF"/>
                                    <w:bottom w:val="single" w:sz="6" w:space="0" w:color="BFBFBF" w:themeColor="background1" w:themeShade="BF"/>
                                  </w:tcBorders>
                                </w:tcPr>
                                <w:p w14:paraId="61CC2E58" w14:textId="77777777" w:rsidR="009954B8" w:rsidRDefault="009954B8" w:rsidP="00F76021">
                                  <w:pPr>
                                    <w:spacing w:before="40" w:after="40" w:line="240" w:lineRule="auto"/>
                                    <w:ind w:left="113"/>
                                    <w:rPr>
                                      <w:sz w:val="20"/>
                                      <w:szCs w:val="20"/>
                                    </w:rPr>
                                  </w:pPr>
                                  <w:r>
                                    <w:rPr>
                                      <w:sz w:val="20"/>
                                      <w:szCs w:val="20"/>
                                    </w:rPr>
                                    <w:t>Other</w:t>
                                  </w:r>
                                </w:p>
                              </w:tc>
                              <w:tc>
                                <w:tcPr>
                                  <w:tcW w:w="1162" w:type="dxa"/>
                                  <w:tcBorders>
                                    <w:top w:val="single" w:sz="6" w:space="0" w:color="BFBFBF" w:themeColor="background1" w:themeShade="BF"/>
                                    <w:bottom w:val="single" w:sz="6" w:space="0" w:color="BFBFBF" w:themeColor="background1" w:themeShade="BF"/>
                                  </w:tcBorders>
                                </w:tcPr>
                                <w:p w14:paraId="711ADA54" w14:textId="77777777" w:rsidR="009954B8" w:rsidRDefault="009954B8" w:rsidP="00F76021">
                                  <w:pPr>
                                    <w:spacing w:before="40" w:after="40" w:line="240" w:lineRule="auto"/>
                                    <w:ind w:left="170"/>
                                    <w:rPr>
                                      <w:i/>
                                      <w:sz w:val="20"/>
                                      <w:szCs w:val="20"/>
                                    </w:rPr>
                                  </w:pPr>
                                  <w:r>
                                    <w:rPr>
                                      <w:i/>
                                      <w:sz w:val="20"/>
                                      <w:szCs w:val="20"/>
                                    </w:rPr>
                                    <w:t>Oth</w:t>
                                  </w:r>
                                </w:p>
                              </w:tc>
                              <w:tc>
                                <w:tcPr>
                                  <w:tcW w:w="1248" w:type="dxa"/>
                                  <w:tcBorders>
                                    <w:top w:val="single" w:sz="6" w:space="0" w:color="BFBFBF" w:themeColor="background1" w:themeShade="BF"/>
                                    <w:bottom w:val="single" w:sz="6" w:space="0" w:color="BFBFBF" w:themeColor="background1" w:themeShade="BF"/>
                                  </w:tcBorders>
                                </w:tcPr>
                                <w:p w14:paraId="2E36CC17" w14:textId="77777777" w:rsidR="009954B8" w:rsidRDefault="009954B8" w:rsidP="00F76021">
                                  <w:pPr>
                                    <w:spacing w:before="40" w:after="40" w:line="240" w:lineRule="auto"/>
                                    <w:rPr>
                                      <w:sz w:val="20"/>
                                      <w:szCs w:val="20"/>
                                    </w:rPr>
                                  </w:pPr>
                                  <w:r>
                                    <w:rPr>
                                      <w:sz w:val="20"/>
                                      <w:szCs w:val="20"/>
                                    </w:rPr>
                                    <w:t>1,233.5</w:t>
                                  </w:r>
                                </w:p>
                              </w:tc>
                              <w:tc>
                                <w:tcPr>
                                  <w:tcW w:w="2381" w:type="dxa"/>
                                  <w:tcBorders>
                                    <w:top w:val="single" w:sz="6" w:space="0" w:color="BFBFBF" w:themeColor="background1" w:themeShade="BF"/>
                                    <w:bottom w:val="single" w:sz="6" w:space="0" w:color="BFBFBF" w:themeColor="background1" w:themeShade="BF"/>
                                  </w:tcBorders>
                                </w:tcPr>
                                <w:p w14:paraId="074066B3" w14:textId="77777777" w:rsidR="009954B8" w:rsidRDefault="009954B8" w:rsidP="00F76021">
                                  <w:pPr>
                                    <w:spacing w:before="40" w:after="40" w:line="240" w:lineRule="auto"/>
                                    <w:rPr>
                                      <w:sz w:val="20"/>
                                      <w:szCs w:val="20"/>
                                    </w:rPr>
                                  </w:pPr>
                                  <w:r>
                                    <w:rPr>
                                      <w:sz w:val="20"/>
                                      <w:szCs w:val="20"/>
                                    </w:rPr>
                                    <w:t>ABS, ABARES; 2023-24; includes hides and skins, meals, animal oils and fats</w:t>
                                  </w:r>
                                </w:p>
                              </w:tc>
                            </w:tr>
                            <w:tr w:rsidR="009954B8" w:rsidRPr="007A14DA" w14:paraId="1220D20B" w14:textId="77777777" w:rsidTr="00EA58F4">
                              <w:tc>
                                <w:tcPr>
                                  <w:tcW w:w="3686" w:type="dxa"/>
                                  <w:tcBorders>
                                    <w:top w:val="single" w:sz="6" w:space="0" w:color="BFBFBF" w:themeColor="background1" w:themeShade="BF"/>
                                    <w:bottom w:val="single" w:sz="6" w:space="0" w:color="BFBFBF" w:themeColor="background1" w:themeShade="BF"/>
                                  </w:tcBorders>
                                </w:tcPr>
                                <w:p w14:paraId="2E210052" w14:textId="77777777" w:rsidR="009954B8" w:rsidRDefault="009954B8" w:rsidP="00F76021">
                                  <w:pPr>
                                    <w:spacing w:before="40" w:after="40" w:line="240" w:lineRule="auto"/>
                                    <w:ind w:left="113"/>
                                    <w:rPr>
                                      <w:sz w:val="20"/>
                                      <w:szCs w:val="20"/>
                                    </w:rPr>
                                  </w:pPr>
                                  <w:r>
                                    <w:rPr>
                                      <w:sz w:val="20"/>
                                      <w:szCs w:val="20"/>
                                    </w:rPr>
                                    <w:t>Domestic price of beef (AUD/kg carcase weight</w:t>
                                  </w:r>
                                </w:p>
                              </w:tc>
                              <w:tc>
                                <w:tcPr>
                                  <w:tcW w:w="1162" w:type="dxa"/>
                                  <w:tcBorders>
                                    <w:top w:val="single" w:sz="6" w:space="0" w:color="BFBFBF" w:themeColor="background1" w:themeShade="BF"/>
                                    <w:bottom w:val="single" w:sz="6" w:space="0" w:color="BFBFBF" w:themeColor="background1" w:themeShade="BF"/>
                                  </w:tcBorders>
                                </w:tcPr>
                                <w:p w14:paraId="43161086" w14:textId="77777777" w:rsidR="009954B8" w:rsidRDefault="009954B8" w:rsidP="00F76021">
                                  <w:pPr>
                                    <w:spacing w:before="40" w:after="40" w:line="240" w:lineRule="auto"/>
                                    <w:ind w:left="170"/>
                                    <w:rPr>
                                      <w:i/>
                                      <w:sz w:val="20"/>
                                      <w:szCs w:val="20"/>
                                    </w:rPr>
                                  </w:pPr>
                                  <w:r>
                                    <w:rPr>
                                      <w:i/>
                                      <w:sz w:val="20"/>
                                      <w:szCs w:val="20"/>
                                    </w:rPr>
                                    <w:t>P</w:t>
                                  </w:r>
                                  <w:r w:rsidRPr="009B7346">
                                    <w:rPr>
                                      <w:i/>
                                      <w:sz w:val="20"/>
                                      <w:szCs w:val="20"/>
                                      <w:vertAlign w:val="subscript"/>
                                    </w:rPr>
                                    <w:t>D</w:t>
                                  </w:r>
                                </w:p>
                              </w:tc>
                              <w:tc>
                                <w:tcPr>
                                  <w:tcW w:w="1248" w:type="dxa"/>
                                  <w:tcBorders>
                                    <w:top w:val="single" w:sz="6" w:space="0" w:color="BFBFBF" w:themeColor="background1" w:themeShade="BF"/>
                                    <w:bottom w:val="single" w:sz="6" w:space="0" w:color="BFBFBF" w:themeColor="background1" w:themeShade="BF"/>
                                  </w:tcBorders>
                                </w:tcPr>
                                <w:p w14:paraId="4084AA23" w14:textId="77777777" w:rsidR="009954B8" w:rsidRDefault="009954B8" w:rsidP="00F76021">
                                  <w:pPr>
                                    <w:spacing w:before="40" w:after="40" w:line="240" w:lineRule="auto"/>
                                    <w:rPr>
                                      <w:sz w:val="20"/>
                                      <w:szCs w:val="20"/>
                                    </w:rPr>
                                  </w:pPr>
                                  <w:r>
                                    <w:rPr>
                                      <w:sz w:val="20"/>
                                      <w:szCs w:val="20"/>
                                    </w:rPr>
                                    <w:t>4.66</w:t>
                                  </w:r>
                                </w:p>
                              </w:tc>
                              <w:tc>
                                <w:tcPr>
                                  <w:tcW w:w="2381" w:type="dxa"/>
                                  <w:tcBorders>
                                    <w:top w:val="single" w:sz="6" w:space="0" w:color="BFBFBF" w:themeColor="background1" w:themeShade="BF"/>
                                    <w:bottom w:val="single" w:sz="6" w:space="0" w:color="BFBFBF" w:themeColor="background1" w:themeShade="BF"/>
                                  </w:tcBorders>
                                </w:tcPr>
                                <w:p w14:paraId="3C7FE92A" w14:textId="77777777" w:rsidR="009954B8" w:rsidRDefault="009954B8" w:rsidP="00F76021">
                                  <w:pPr>
                                    <w:spacing w:before="40" w:after="40" w:line="240" w:lineRule="auto"/>
                                    <w:rPr>
                                      <w:sz w:val="20"/>
                                      <w:szCs w:val="20"/>
                                    </w:rPr>
                                  </w:pPr>
                                  <w:r>
                                    <w:rPr>
                                      <w:sz w:val="20"/>
                                      <w:szCs w:val="20"/>
                                    </w:rPr>
                                    <w:t>ABARES 2024; data for 2023-24</w:t>
                                  </w:r>
                                </w:p>
                              </w:tc>
                            </w:tr>
                            <w:tr w:rsidR="009954B8" w:rsidRPr="007A14DA" w14:paraId="6A771E4E" w14:textId="77777777" w:rsidTr="00EA58F4">
                              <w:tc>
                                <w:tcPr>
                                  <w:tcW w:w="3686" w:type="dxa"/>
                                  <w:tcBorders>
                                    <w:top w:val="single" w:sz="6" w:space="0" w:color="BFBFBF" w:themeColor="background1" w:themeShade="BF"/>
                                    <w:bottom w:val="single" w:sz="6" w:space="0" w:color="BFBFBF" w:themeColor="background1" w:themeShade="BF"/>
                                  </w:tcBorders>
                                </w:tcPr>
                                <w:p w14:paraId="1026A50C" w14:textId="77777777" w:rsidR="009954B8" w:rsidRDefault="009954B8" w:rsidP="00F76021">
                                  <w:pPr>
                                    <w:spacing w:before="40" w:after="40" w:line="240" w:lineRule="auto"/>
                                    <w:ind w:left="113"/>
                                    <w:rPr>
                                      <w:sz w:val="20"/>
                                      <w:szCs w:val="20"/>
                                    </w:rPr>
                                  </w:pPr>
                                  <w:r>
                                    <w:rPr>
                                      <w:sz w:val="20"/>
                                      <w:szCs w:val="20"/>
                                    </w:rPr>
                                    <w:t>Volume of beef exports absorbed by the domestic market (m kg)</w:t>
                                  </w:r>
                                </w:p>
                              </w:tc>
                              <w:tc>
                                <w:tcPr>
                                  <w:tcW w:w="1162" w:type="dxa"/>
                                  <w:tcBorders>
                                    <w:top w:val="single" w:sz="6" w:space="0" w:color="BFBFBF" w:themeColor="background1" w:themeShade="BF"/>
                                    <w:bottom w:val="single" w:sz="6" w:space="0" w:color="BFBFBF" w:themeColor="background1" w:themeShade="BF"/>
                                  </w:tcBorders>
                                </w:tcPr>
                                <w:p w14:paraId="359687EA" w14:textId="77777777" w:rsidR="009954B8" w:rsidRDefault="009954B8" w:rsidP="00F76021">
                                  <w:pPr>
                                    <w:spacing w:before="40" w:after="40" w:line="240" w:lineRule="auto"/>
                                    <w:ind w:left="170"/>
                                    <w:rPr>
                                      <w:i/>
                                      <w:sz w:val="20"/>
                                      <w:szCs w:val="20"/>
                                    </w:rPr>
                                  </w:pPr>
                                  <w:r>
                                    <w:rPr>
                                      <w:i/>
                                      <w:sz w:val="20"/>
                                      <w:szCs w:val="20"/>
                                    </w:rPr>
                                    <w:t>V</w:t>
                                  </w:r>
                                  <w:r w:rsidRPr="004F23A5">
                                    <w:rPr>
                                      <w:i/>
                                      <w:sz w:val="20"/>
                                      <w:szCs w:val="20"/>
                                      <w:vertAlign w:val="subscript"/>
                                    </w:rPr>
                                    <w:t>D</w:t>
                                  </w:r>
                                </w:p>
                              </w:tc>
                              <w:tc>
                                <w:tcPr>
                                  <w:tcW w:w="1248" w:type="dxa"/>
                                  <w:tcBorders>
                                    <w:top w:val="single" w:sz="6" w:space="0" w:color="BFBFBF" w:themeColor="background1" w:themeShade="BF"/>
                                    <w:bottom w:val="single" w:sz="6" w:space="0" w:color="BFBFBF" w:themeColor="background1" w:themeShade="BF"/>
                                  </w:tcBorders>
                                </w:tcPr>
                                <w:p w14:paraId="6AE8EB94" w14:textId="77777777" w:rsidR="009954B8" w:rsidRDefault="009954B8" w:rsidP="00DC7F85">
                                  <w:pPr>
                                    <w:spacing w:before="40" w:after="40" w:line="240" w:lineRule="auto"/>
                                    <w:rPr>
                                      <w:sz w:val="20"/>
                                      <w:szCs w:val="20"/>
                                    </w:rPr>
                                  </w:pPr>
                                  <w:r w:rsidRPr="00DC7F85">
                                    <w:rPr>
                                      <w:sz w:val="20"/>
                                      <w:szCs w:val="20"/>
                                    </w:rPr>
                                    <w:t>1,080</w:t>
                                  </w:r>
                                </w:p>
                              </w:tc>
                              <w:tc>
                                <w:tcPr>
                                  <w:tcW w:w="2381" w:type="dxa"/>
                                  <w:tcBorders>
                                    <w:top w:val="single" w:sz="6" w:space="0" w:color="BFBFBF" w:themeColor="background1" w:themeShade="BF"/>
                                    <w:bottom w:val="single" w:sz="6" w:space="0" w:color="BFBFBF" w:themeColor="background1" w:themeShade="BF"/>
                                  </w:tcBorders>
                                </w:tcPr>
                                <w:p w14:paraId="04A2893A" w14:textId="77777777" w:rsidR="009954B8" w:rsidRDefault="009954B8" w:rsidP="00F76021">
                                  <w:pPr>
                                    <w:spacing w:before="40" w:after="40" w:line="240" w:lineRule="auto"/>
                                    <w:rPr>
                                      <w:sz w:val="20"/>
                                      <w:szCs w:val="20"/>
                                    </w:rPr>
                                  </w:pPr>
                                  <w:r>
                                    <w:rPr>
                                      <w:sz w:val="20"/>
                                      <w:szCs w:val="20"/>
                                    </w:rPr>
                                    <w:t>ABARES 2024; data for 2023</w:t>
                                  </w:r>
                                </w:p>
                              </w:tc>
                            </w:tr>
                            <w:tr w:rsidR="009954B8" w:rsidRPr="007A14DA" w14:paraId="62A36CFE" w14:textId="77777777" w:rsidTr="00EA58F4">
                              <w:trPr>
                                <w:trHeight w:val="624"/>
                              </w:trPr>
                              <w:tc>
                                <w:tcPr>
                                  <w:tcW w:w="6096" w:type="dxa"/>
                                  <w:gridSpan w:val="3"/>
                                  <w:tcBorders>
                                    <w:top w:val="single" w:sz="6" w:space="0" w:color="BFBFBF" w:themeColor="background1" w:themeShade="BF"/>
                                    <w:bottom w:val="single" w:sz="6" w:space="0" w:color="BFBFBF" w:themeColor="background1" w:themeShade="BF"/>
                                  </w:tcBorders>
                                  <w:vAlign w:val="bottom"/>
                                </w:tcPr>
                                <w:p w14:paraId="76D284ED" w14:textId="77777777" w:rsidR="009954B8" w:rsidRPr="007A14DA" w:rsidRDefault="009954B8" w:rsidP="00780468">
                                  <w:pPr>
                                    <w:spacing w:before="80" w:after="40" w:line="240" w:lineRule="auto"/>
                                    <w:jc w:val="left"/>
                                    <w:rPr>
                                      <w:sz w:val="20"/>
                                      <w:szCs w:val="20"/>
                                    </w:rPr>
                                  </w:pPr>
                                  <w:r>
                                    <w:rPr>
                                      <w:b/>
                                      <w:sz w:val="20"/>
                                      <w:szCs w:val="20"/>
                                    </w:rPr>
                                    <w:t xml:space="preserve">2. </w:t>
                                  </w:r>
                                  <w:r w:rsidRPr="00B24669">
                                    <w:rPr>
                                      <w:b/>
                                      <w:sz w:val="20"/>
                                      <w:szCs w:val="20"/>
                                    </w:rPr>
                                    <w:t>SRM removal from human and animal export chains</w:t>
                                  </w:r>
                                </w:p>
                              </w:tc>
                              <w:tc>
                                <w:tcPr>
                                  <w:tcW w:w="2381" w:type="dxa"/>
                                  <w:tcBorders>
                                    <w:top w:val="single" w:sz="6" w:space="0" w:color="BFBFBF" w:themeColor="background1" w:themeShade="BF"/>
                                    <w:bottom w:val="single" w:sz="6" w:space="0" w:color="BFBFBF" w:themeColor="background1" w:themeShade="BF"/>
                                  </w:tcBorders>
                                  <w:vAlign w:val="bottom"/>
                                </w:tcPr>
                                <w:p w14:paraId="05427C33" w14:textId="77777777" w:rsidR="009954B8" w:rsidRPr="007A14DA" w:rsidRDefault="009954B8" w:rsidP="00780468">
                                  <w:pPr>
                                    <w:spacing w:before="80" w:after="40" w:line="240" w:lineRule="auto"/>
                                    <w:jc w:val="left"/>
                                    <w:rPr>
                                      <w:sz w:val="20"/>
                                      <w:szCs w:val="20"/>
                                    </w:rPr>
                                  </w:pPr>
                                </w:p>
                              </w:tc>
                            </w:tr>
                            <w:tr w:rsidR="009954B8" w:rsidRPr="007A14DA" w14:paraId="55ADA2C7" w14:textId="77777777" w:rsidTr="00214B22">
                              <w:tc>
                                <w:tcPr>
                                  <w:tcW w:w="3686" w:type="dxa"/>
                                  <w:tcBorders>
                                    <w:top w:val="single" w:sz="6" w:space="0" w:color="BFBFBF" w:themeColor="background1" w:themeShade="BF"/>
                                    <w:bottom w:val="single" w:sz="6" w:space="0" w:color="BFBFBF" w:themeColor="background1" w:themeShade="BF"/>
                                  </w:tcBorders>
                                </w:tcPr>
                                <w:p w14:paraId="32993C84" w14:textId="77777777" w:rsidR="009954B8" w:rsidRPr="007A14DA" w:rsidRDefault="009954B8" w:rsidP="000A32DD">
                                  <w:pPr>
                                    <w:spacing w:before="40" w:after="40" w:line="240" w:lineRule="auto"/>
                                    <w:ind w:left="113"/>
                                    <w:jc w:val="left"/>
                                    <w:rPr>
                                      <w:sz w:val="20"/>
                                      <w:szCs w:val="20"/>
                                    </w:rPr>
                                  </w:pPr>
                                  <w:r>
                                    <w:rPr>
                                      <w:sz w:val="20"/>
                                      <w:szCs w:val="20"/>
                                    </w:rPr>
                                    <w:t>Number of abattoirs affected (no.)</w:t>
                                  </w:r>
                                </w:p>
                              </w:tc>
                              <w:tc>
                                <w:tcPr>
                                  <w:tcW w:w="1162" w:type="dxa"/>
                                  <w:tcBorders>
                                    <w:top w:val="single" w:sz="6" w:space="0" w:color="BFBFBF" w:themeColor="background1" w:themeShade="BF"/>
                                    <w:bottom w:val="single" w:sz="6" w:space="0" w:color="BFBFBF" w:themeColor="background1" w:themeShade="BF"/>
                                  </w:tcBorders>
                                </w:tcPr>
                                <w:p w14:paraId="3BB3718A" w14:textId="77777777" w:rsidR="009954B8" w:rsidRPr="00B44FF1" w:rsidRDefault="009954B8" w:rsidP="000A32DD">
                                  <w:pPr>
                                    <w:spacing w:before="40" w:after="40" w:line="240" w:lineRule="auto"/>
                                    <w:ind w:left="170"/>
                                    <w:rPr>
                                      <w:i/>
                                      <w:sz w:val="20"/>
                                      <w:szCs w:val="20"/>
                                    </w:rPr>
                                  </w:pPr>
                                  <w:r>
                                    <w:rPr>
                                      <w:i/>
                                      <w:sz w:val="20"/>
                                      <w:szCs w:val="20"/>
                                    </w:rPr>
                                    <w:t>N</w:t>
                                  </w:r>
                                  <w:r w:rsidRPr="005A407C">
                                    <w:rPr>
                                      <w:i/>
                                      <w:sz w:val="20"/>
                                      <w:szCs w:val="20"/>
                                      <w:vertAlign w:val="subscript"/>
                                    </w:rPr>
                                    <w:t>R</w:t>
                                  </w:r>
                                </w:p>
                              </w:tc>
                              <w:tc>
                                <w:tcPr>
                                  <w:tcW w:w="1248" w:type="dxa"/>
                                  <w:tcBorders>
                                    <w:top w:val="single" w:sz="6" w:space="0" w:color="BFBFBF" w:themeColor="background1" w:themeShade="BF"/>
                                    <w:bottom w:val="single" w:sz="6" w:space="0" w:color="BFBFBF" w:themeColor="background1" w:themeShade="BF"/>
                                  </w:tcBorders>
                                  <w:shd w:val="clear" w:color="auto" w:fill="auto"/>
                                </w:tcPr>
                                <w:p w14:paraId="6E178FF3" w14:textId="77777777" w:rsidR="009954B8" w:rsidRPr="00214B22" w:rsidRDefault="009954B8" w:rsidP="000A32DD">
                                  <w:pPr>
                                    <w:spacing w:before="40" w:after="40" w:line="240" w:lineRule="auto"/>
                                    <w:rPr>
                                      <w:sz w:val="20"/>
                                      <w:szCs w:val="20"/>
                                      <w:highlight w:val="yellow"/>
                                    </w:rPr>
                                  </w:pPr>
                                  <w:r w:rsidRPr="005A407C">
                                    <w:rPr>
                                      <w:sz w:val="20"/>
                                      <w:szCs w:val="20"/>
                                    </w:rPr>
                                    <w:t>70</w:t>
                                  </w:r>
                                </w:p>
                              </w:tc>
                              <w:tc>
                                <w:tcPr>
                                  <w:tcW w:w="2381" w:type="dxa"/>
                                  <w:tcBorders>
                                    <w:top w:val="single" w:sz="6" w:space="0" w:color="BFBFBF" w:themeColor="background1" w:themeShade="BF"/>
                                    <w:bottom w:val="single" w:sz="6" w:space="0" w:color="BFBFBF" w:themeColor="background1" w:themeShade="BF"/>
                                  </w:tcBorders>
                                </w:tcPr>
                                <w:p w14:paraId="18FA4ECC" w14:textId="77777777" w:rsidR="009954B8" w:rsidRPr="007A14DA" w:rsidRDefault="009954B8" w:rsidP="000A32DD">
                                  <w:pPr>
                                    <w:spacing w:before="40" w:after="40" w:line="240" w:lineRule="auto"/>
                                    <w:rPr>
                                      <w:sz w:val="20"/>
                                      <w:szCs w:val="20"/>
                                    </w:rPr>
                                  </w:pPr>
                                  <w:r>
                                    <w:rPr>
                                      <w:sz w:val="20"/>
                                      <w:szCs w:val="20"/>
                                    </w:rPr>
                                    <w:t>ARA</w:t>
                                  </w:r>
                                </w:p>
                              </w:tc>
                            </w:tr>
                            <w:tr w:rsidR="009954B8" w:rsidRPr="007A14DA" w14:paraId="2B5D7A0A" w14:textId="77777777" w:rsidTr="00214B22">
                              <w:tc>
                                <w:tcPr>
                                  <w:tcW w:w="3686" w:type="dxa"/>
                                  <w:tcBorders>
                                    <w:top w:val="single" w:sz="6" w:space="0" w:color="BFBFBF" w:themeColor="background1" w:themeShade="BF"/>
                                    <w:bottom w:val="single" w:sz="6" w:space="0" w:color="BFBFBF" w:themeColor="background1" w:themeShade="BF"/>
                                  </w:tcBorders>
                                </w:tcPr>
                                <w:p w14:paraId="014A8EC1" w14:textId="77777777" w:rsidR="009954B8" w:rsidRDefault="009954B8" w:rsidP="000A32DD">
                                  <w:pPr>
                                    <w:spacing w:before="40" w:after="40" w:line="240" w:lineRule="auto"/>
                                    <w:ind w:left="113"/>
                                    <w:jc w:val="left"/>
                                    <w:rPr>
                                      <w:sz w:val="20"/>
                                      <w:szCs w:val="20"/>
                                    </w:rPr>
                                  </w:pPr>
                                  <w:r>
                                    <w:rPr>
                                      <w:sz w:val="20"/>
                                      <w:szCs w:val="20"/>
                                    </w:rPr>
                                    <w:t>Additional FTE involved in safe handling of SRM</w:t>
                                  </w:r>
                                </w:p>
                              </w:tc>
                              <w:tc>
                                <w:tcPr>
                                  <w:tcW w:w="1162" w:type="dxa"/>
                                  <w:tcBorders>
                                    <w:top w:val="single" w:sz="6" w:space="0" w:color="BFBFBF" w:themeColor="background1" w:themeShade="BF"/>
                                    <w:bottom w:val="single" w:sz="6" w:space="0" w:color="BFBFBF" w:themeColor="background1" w:themeShade="BF"/>
                                  </w:tcBorders>
                                </w:tcPr>
                                <w:p w14:paraId="24532927" w14:textId="77777777" w:rsidR="009954B8" w:rsidRDefault="009954B8" w:rsidP="000A32DD">
                                  <w:pPr>
                                    <w:spacing w:before="40" w:after="40" w:line="240" w:lineRule="auto"/>
                                    <w:ind w:left="170"/>
                                    <w:rPr>
                                      <w:i/>
                                      <w:sz w:val="20"/>
                                      <w:szCs w:val="20"/>
                                    </w:rPr>
                                  </w:pPr>
                                  <w:r>
                                    <w:rPr>
                                      <w:i/>
                                      <w:sz w:val="20"/>
                                      <w:szCs w:val="20"/>
                                    </w:rPr>
                                    <w:t>FTE</w:t>
                                  </w:r>
                                  <w:r w:rsidRPr="00BE08E5">
                                    <w:rPr>
                                      <w:i/>
                                      <w:sz w:val="20"/>
                                      <w:szCs w:val="20"/>
                                      <w:vertAlign w:val="subscript"/>
                                    </w:rPr>
                                    <w:t>SRM</w:t>
                                  </w:r>
                                </w:p>
                              </w:tc>
                              <w:tc>
                                <w:tcPr>
                                  <w:tcW w:w="1248" w:type="dxa"/>
                                  <w:tcBorders>
                                    <w:top w:val="single" w:sz="6" w:space="0" w:color="BFBFBF" w:themeColor="background1" w:themeShade="BF"/>
                                    <w:bottom w:val="single" w:sz="6" w:space="0" w:color="BFBFBF" w:themeColor="background1" w:themeShade="BF"/>
                                  </w:tcBorders>
                                  <w:shd w:val="clear" w:color="auto" w:fill="auto"/>
                                </w:tcPr>
                                <w:p w14:paraId="255E8900" w14:textId="77777777" w:rsidR="009954B8" w:rsidRPr="00214B22" w:rsidRDefault="009954B8" w:rsidP="000A32DD">
                                  <w:pPr>
                                    <w:spacing w:before="40" w:after="40" w:line="240" w:lineRule="auto"/>
                                    <w:rPr>
                                      <w:sz w:val="20"/>
                                      <w:szCs w:val="20"/>
                                      <w:highlight w:val="yellow"/>
                                    </w:rPr>
                                  </w:pPr>
                                  <w:r w:rsidRPr="00CB792D">
                                    <w:rPr>
                                      <w:sz w:val="20"/>
                                      <w:szCs w:val="20"/>
                                    </w:rPr>
                                    <w:t>1</w:t>
                                  </w:r>
                                </w:p>
                              </w:tc>
                              <w:tc>
                                <w:tcPr>
                                  <w:tcW w:w="2381" w:type="dxa"/>
                                  <w:tcBorders>
                                    <w:top w:val="single" w:sz="6" w:space="0" w:color="BFBFBF" w:themeColor="background1" w:themeShade="BF"/>
                                    <w:bottom w:val="single" w:sz="6" w:space="0" w:color="BFBFBF" w:themeColor="background1" w:themeShade="BF"/>
                                  </w:tcBorders>
                                </w:tcPr>
                                <w:p w14:paraId="36BA7D16" w14:textId="77777777" w:rsidR="009954B8" w:rsidRDefault="009954B8" w:rsidP="000A32DD">
                                  <w:pPr>
                                    <w:spacing w:before="40" w:after="40" w:line="240" w:lineRule="auto"/>
                                    <w:rPr>
                                      <w:sz w:val="20"/>
                                      <w:szCs w:val="20"/>
                                    </w:rPr>
                                  </w:pPr>
                                  <w:r>
                                    <w:rPr>
                                      <w:sz w:val="20"/>
                                      <w:szCs w:val="20"/>
                                    </w:rPr>
                                    <w:t>estimate</w:t>
                                  </w:r>
                                </w:p>
                              </w:tc>
                            </w:tr>
                            <w:tr w:rsidR="009954B8" w:rsidRPr="007A14DA" w14:paraId="6379AA0C" w14:textId="77777777" w:rsidTr="00214B22">
                              <w:tc>
                                <w:tcPr>
                                  <w:tcW w:w="3686" w:type="dxa"/>
                                  <w:tcBorders>
                                    <w:top w:val="single" w:sz="6" w:space="0" w:color="BFBFBF" w:themeColor="background1" w:themeShade="BF"/>
                                    <w:bottom w:val="single" w:sz="6" w:space="0" w:color="BFBFBF" w:themeColor="background1" w:themeShade="BF"/>
                                  </w:tcBorders>
                                </w:tcPr>
                                <w:p w14:paraId="3C1FA6E7" w14:textId="77777777" w:rsidR="009954B8" w:rsidRPr="007A14DA" w:rsidRDefault="009954B8" w:rsidP="000A32DD">
                                  <w:pPr>
                                    <w:spacing w:before="40" w:after="40" w:line="240" w:lineRule="auto"/>
                                    <w:ind w:left="113"/>
                                    <w:jc w:val="left"/>
                                    <w:rPr>
                                      <w:sz w:val="20"/>
                                      <w:szCs w:val="20"/>
                                    </w:rPr>
                                  </w:pPr>
                                  <w:r>
                                    <w:rPr>
                                      <w:sz w:val="20"/>
                                      <w:szCs w:val="20"/>
                                    </w:rPr>
                                    <w:t>Annual salary of additional FTE (AUD)</w:t>
                                  </w:r>
                                </w:p>
                              </w:tc>
                              <w:tc>
                                <w:tcPr>
                                  <w:tcW w:w="1162" w:type="dxa"/>
                                  <w:tcBorders>
                                    <w:top w:val="single" w:sz="6" w:space="0" w:color="BFBFBF" w:themeColor="background1" w:themeShade="BF"/>
                                    <w:bottom w:val="single" w:sz="6" w:space="0" w:color="BFBFBF" w:themeColor="background1" w:themeShade="BF"/>
                                  </w:tcBorders>
                                </w:tcPr>
                                <w:p w14:paraId="2552BA85" w14:textId="77777777" w:rsidR="009954B8" w:rsidRPr="00B44FF1" w:rsidRDefault="009954B8" w:rsidP="000A32DD">
                                  <w:pPr>
                                    <w:tabs>
                                      <w:tab w:val="left" w:pos="616"/>
                                    </w:tabs>
                                    <w:spacing w:before="40" w:after="40" w:line="240" w:lineRule="auto"/>
                                    <w:ind w:left="170"/>
                                    <w:rPr>
                                      <w:i/>
                                      <w:sz w:val="20"/>
                                      <w:szCs w:val="20"/>
                                    </w:rPr>
                                  </w:pPr>
                                  <w:r>
                                    <w:rPr>
                                      <w:i/>
                                      <w:sz w:val="20"/>
                                      <w:szCs w:val="20"/>
                                    </w:rPr>
                                    <w:t>CFTE</w:t>
                                  </w:r>
                                  <w:r w:rsidRPr="00BE08E5">
                                    <w:rPr>
                                      <w:i/>
                                      <w:sz w:val="20"/>
                                      <w:szCs w:val="20"/>
                                      <w:vertAlign w:val="subscript"/>
                                    </w:rPr>
                                    <w:t>SRM</w:t>
                                  </w:r>
                                </w:p>
                              </w:tc>
                              <w:tc>
                                <w:tcPr>
                                  <w:tcW w:w="1248" w:type="dxa"/>
                                  <w:tcBorders>
                                    <w:top w:val="single" w:sz="6" w:space="0" w:color="BFBFBF" w:themeColor="background1" w:themeShade="BF"/>
                                    <w:bottom w:val="single" w:sz="6" w:space="0" w:color="BFBFBF" w:themeColor="background1" w:themeShade="BF"/>
                                  </w:tcBorders>
                                  <w:shd w:val="clear" w:color="auto" w:fill="auto"/>
                                </w:tcPr>
                                <w:p w14:paraId="71CA488B" w14:textId="77777777" w:rsidR="009954B8" w:rsidRPr="00214B22" w:rsidRDefault="009954B8" w:rsidP="000A32DD">
                                  <w:pPr>
                                    <w:spacing w:before="40" w:after="40" w:line="240" w:lineRule="auto"/>
                                    <w:rPr>
                                      <w:sz w:val="20"/>
                                      <w:szCs w:val="20"/>
                                      <w:highlight w:val="yellow"/>
                                    </w:rPr>
                                  </w:pPr>
                                  <w:r w:rsidRPr="00CB792D">
                                    <w:rPr>
                                      <w:sz w:val="20"/>
                                      <w:szCs w:val="20"/>
                                    </w:rPr>
                                    <w:t>70,000</w:t>
                                  </w:r>
                                </w:p>
                              </w:tc>
                              <w:tc>
                                <w:tcPr>
                                  <w:tcW w:w="2381" w:type="dxa"/>
                                  <w:tcBorders>
                                    <w:top w:val="single" w:sz="6" w:space="0" w:color="BFBFBF" w:themeColor="background1" w:themeShade="BF"/>
                                    <w:bottom w:val="single" w:sz="6" w:space="0" w:color="BFBFBF" w:themeColor="background1" w:themeShade="BF"/>
                                  </w:tcBorders>
                                </w:tcPr>
                                <w:p w14:paraId="784E0097" w14:textId="77777777" w:rsidR="009954B8" w:rsidRPr="007A14DA" w:rsidRDefault="009954B8" w:rsidP="000A32DD">
                                  <w:pPr>
                                    <w:spacing w:before="40" w:after="40" w:line="240" w:lineRule="auto"/>
                                    <w:rPr>
                                      <w:sz w:val="20"/>
                                      <w:szCs w:val="20"/>
                                    </w:rPr>
                                  </w:pPr>
                                  <w:r>
                                    <w:rPr>
                                      <w:sz w:val="20"/>
                                      <w:szCs w:val="20"/>
                                    </w:rPr>
                                    <w:t>estimate</w:t>
                                  </w:r>
                                </w:p>
                              </w:tc>
                            </w:tr>
                            <w:tr w:rsidR="009954B8" w:rsidRPr="007A14DA" w14:paraId="04FF480A" w14:textId="77777777" w:rsidTr="00EA58F4">
                              <w:tc>
                                <w:tcPr>
                                  <w:tcW w:w="3686" w:type="dxa"/>
                                  <w:tcBorders>
                                    <w:top w:val="single" w:sz="6" w:space="0" w:color="BFBFBF" w:themeColor="background1" w:themeShade="BF"/>
                                    <w:bottom w:val="single" w:sz="6" w:space="0" w:color="BFBFBF" w:themeColor="background1" w:themeShade="BF"/>
                                  </w:tcBorders>
                                </w:tcPr>
                                <w:p w14:paraId="4D7D7EAD" w14:textId="77777777" w:rsidR="009954B8" w:rsidRDefault="009954B8" w:rsidP="000A32DD">
                                  <w:pPr>
                                    <w:spacing w:before="40" w:after="40" w:line="240" w:lineRule="auto"/>
                                    <w:ind w:left="113"/>
                                    <w:jc w:val="left"/>
                                    <w:rPr>
                                      <w:sz w:val="20"/>
                                      <w:szCs w:val="20"/>
                                    </w:rPr>
                                  </w:pPr>
                                  <w:r>
                                    <w:rPr>
                                      <w:sz w:val="20"/>
                                      <w:szCs w:val="20"/>
                                    </w:rPr>
                                    <w:t>Number of animals processed (head)</w:t>
                                  </w:r>
                                </w:p>
                              </w:tc>
                              <w:tc>
                                <w:tcPr>
                                  <w:tcW w:w="1162" w:type="dxa"/>
                                  <w:tcBorders>
                                    <w:top w:val="single" w:sz="6" w:space="0" w:color="BFBFBF" w:themeColor="background1" w:themeShade="BF"/>
                                    <w:bottom w:val="single" w:sz="6" w:space="0" w:color="BFBFBF" w:themeColor="background1" w:themeShade="BF"/>
                                  </w:tcBorders>
                                </w:tcPr>
                                <w:p w14:paraId="62719766" w14:textId="77777777" w:rsidR="009954B8" w:rsidRDefault="009954B8" w:rsidP="000A32DD">
                                  <w:pPr>
                                    <w:tabs>
                                      <w:tab w:val="left" w:pos="616"/>
                                    </w:tabs>
                                    <w:spacing w:before="40" w:after="40" w:line="240" w:lineRule="auto"/>
                                    <w:ind w:left="170"/>
                                    <w:rPr>
                                      <w:i/>
                                      <w:sz w:val="20"/>
                                      <w:szCs w:val="20"/>
                                    </w:rPr>
                                  </w:pPr>
                                  <w:r w:rsidRPr="00B44FF1">
                                    <w:rPr>
                                      <w:i/>
                                      <w:sz w:val="20"/>
                                      <w:szCs w:val="20"/>
                                    </w:rPr>
                                    <w:t>N</w:t>
                                  </w:r>
                                  <w:r w:rsidRPr="00FB304E">
                                    <w:rPr>
                                      <w:i/>
                                      <w:sz w:val="20"/>
                                      <w:szCs w:val="20"/>
                                      <w:vertAlign w:val="subscript"/>
                                    </w:rPr>
                                    <w:t>A</w:t>
                                  </w:r>
                                </w:p>
                              </w:tc>
                              <w:tc>
                                <w:tcPr>
                                  <w:tcW w:w="1248" w:type="dxa"/>
                                  <w:tcBorders>
                                    <w:top w:val="single" w:sz="6" w:space="0" w:color="BFBFBF" w:themeColor="background1" w:themeShade="BF"/>
                                    <w:bottom w:val="single" w:sz="6" w:space="0" w:color="BFBFBF" w:themeColor="background1" w:themeShade="BF"/>
                                  </w:tcBorders>
                                </w:tcPr>
                                <w:p w14:paraId="3ACA1B1E" w14:textId="77777777" w:rsidR="009954B8" w:rsidRPr="00700712" w:rsidRDefault="009954B8" w:rsidP="000A32DD">
                                  <w:pPr>
                                    <w:spacing w:before="40" w:after="40" w:line="240" w:lineRule="auto"/>
                                    <w:rPr>
                                      <w:sz w:val="20"/>
                                      <w:szCs w:val="20"/>
                                    </w:rPr>
                                  </w:pPr>
                                  <w:r w:rsidRPr="00700712">
                                    <w:rPr>
                                      <w:sz w:val="20"/>
                                      <w:szCs w:val="20"/>
                                    </w:rPr>
                                    <w:t xml:space="preserve">7,600,000 </w:t>
                                  </w:r>
                                </w:p>
                              </w:tc>
                              <w:tc>
                                <w:tcPr>
                                  <w:tcW w:w="2381" w:type="dxa"/>
                                  <w:tcBorders>
                                    <w:top w:val="single" w:sz="6" w:space="0" w:color="BFBFBF" w:themeColor="background1" w:themeShade="BF"/>
                                    <w:bottom w:val="single" w:sz="6" w:space="0" w:color="BFBFBF" w:themeColor="background1" w:themeShade="BF"/>
                                  </w:tcBorders>
                                </w:tcPr>
                                <w:p w14:paraId="767F196C" w14:textId="77777777" w:rsidR="009954B8" w:rsidRDefault="009954B8" w:rsidP="000A32DD">
                                  <w:pPr>
                                    <w:spacing w:before="40" w:after="40" w:line="240" w:lineRule="auto"/>
                                    <w:rPr>
                                      <w:sz w:val="20"/>
                                      <w:szCs w:val="20"/>
                                    </w:rPr>
                                  </w:pPr>
                                  <w:r>
                                    <w:rPr>
                                      <w:sz w:val="20"/>
                                      <w:szCs w:val="20"/>
                                    </w:rPr>
                                    <w:t>MLA, ABS</w:t>
                                  </w:r>
                                </w:p>
                              </w:tc>
                            </w:tr>
                            <w:tr w:rsidR="009954B8" w:rsidRPr="007A14DA" w14:paraId="01DDF393" w14:textId="77777777" w:rsidTr="00EA58F4">
                              <w:tc>
                                <w:tcPr>
                                  <w:tcW w:w="3686" w:type="dxa"/>
                                  <w:tcBorders>
                                    <w:top w:val="single" w:sz="6" w:space="0" w:color="BFBFBF" w:themeColor="background1" w:themeShade="BF"/>
                                    <w:bottom w:val="single" w:sz="6" w:space="0" w:color="BFBFBF" w:themeColor="background1" w:themeShade="BF"/>
                                  </w:tcBorders>
                                </w:tcPr>
                                <w:p w14:paraId="507B483A" w14:textId="77777777" w:rsidR="009954B8" w:rsidRPr="007A14DA" w:rsidRDefault="009954B8" w:rsidP="000A32DD">
                                  <w:pPr>
                                    <w:spacing w:before="40" w:after="40" w:line="240" w:lineRule="auto"/>
                                    <w:ind w:left="113"/>
                                    <w:jc w:val="left"/>
                                    <w:rPr>
                                      <w:sz w:val="20"/>
                                      <w:szCs w:val="20"/>
                                    </w:rPr>
                                  </w:pPr>
                                  <w:r>
                                    <w:rPr>
                                      <w:sz w:val="20"/>
                                      <w:szCs w:val="20"/>
                                    </w:rPr>
                                    <w:t>SRM per animal lost to rendering (kg dry weight)</w:t>
                                  </w:r>
                                </w:p>
                              </w:tc>
                              <w:tc>
                                <w:tcPr>
                                  <w:tcW w:w="1162" w:type="dxa"/>
                                  <w:tcBorders>
                                    <w:top w:val="single" w:sz="6" w:space="0" w:color="BFBFBF" w:themeColor="background1" w:themeShade="BF"/>
                                    <w:bottom w:val="single" w:sz="6" w:space="0" w:color="BFBFBF" w:themeColor="background1" w:themeShade="BF"/>
                                  </w:tcBorders>
                                </w:tcPr>
                                <w:p w14:paraId="248EB370" w14:textId="77777777" w:rsidR="009954B8" w:rsidRPr="008C3C46" w:rsidRDefault="009954B8" w:rsidP="000A32DD">
                                  <w:pPr>
                                    <w:spacing w:before="40" w:after="40" w:line="240" w:lineRule="auto"/>
                                    <w:ind w:left="170"/>
                                    <w:rPr>
                                      <w:i/>
                                      <w:sz w:val="20"/>
                                      <w:szCs w:val="20"/>
                                    </w:rPr>
                                  </w:pPr>
                                  <w:r>
                                    <w:rPr>
                                      <w:i/>
                                      <w:sz w:val="20"/>
                                      <w:szCs w:val="20"/>
                                    </w:rPr>
                                    <w:t>SRM</w:t>
                                  </w:r>
                                  <w:r w:rsidRPr="001C1346">
                                    <w:rPr>
                                      <w:i/>
                                      <w:sz w:val="20"/>
                                      <w:szCs w:val="20"/>
                                      <w:vertAlign w:val="subscript"/>
                                    </w:rPr>
                                    <w:t>A</w:t>
                                  </w:r>
                                </w:p>
                              </w:tc>
                              <w:tc>
                                <w:tcPr>
                                  <w:tcW w:w="1248" w:type="dxa"/>
                                  <w:tcBorders>
                                    <w:top w:val="single" w:sz="6" w:space="0" w:color="BFBFBF" w:themeColor="background1" w:themeShade="BF"/>
                                    <w:bottom w:val="single" w:sz="6" w:space="0" w:color="BFBFBF" w:themeColor="background1" w:themeShade="BF"/>
                                  </w:tcBorders>
                                </w:tcPr>
                                <w:p w14:paraId="1186856A" w14:textId="77777777" w:rsidR="009954B8" w:rsidRPr="00700712" w:rsidRDefault="009954B8" w:rsidP="000A32DD">
                                  <w:pPr>
                                    <w:spacing w:before="40" w:after="40" w:line="240" w:lineRule="auto"/>
                                    <w:rPr>
                                      <w:sz w:val="20"/>
                                      <w:szCs w:val="20"/>
                                    </w:rPr>
                                  </w:pPr>
                                  <w:r w:rsidRPr="00700712">
                                    <w:rPr>
                                      <w:sz w:val="20"/>
                                      <w:szCs w:val="20"/>
                                    </w:rPr>
                                    <w:t>2.8</w:t>
                                  </w:r>
                                </w:p>
                              </w:tc>
                              <w:tc>
                                <w:tcPr>
                                  <w:tcW w:w="2381" w:type="dxa"/>
                                  <w:tcBorders>
                                    <w:top w:val="single" w:sz="6" w:space="0" w:color="BFBFBF" w:themeColor="background1" w:themeShade="BF"/>
                                    <w:bottom w:val="single" w:sz="6" w:space="0" w:color="BFBFBF" w:themeColor="background1" w:themeShade="BF"/>
                                  </w:tcBorders>
                                </w:tcPr>
                                <w:p w14:paraId="70B8F00C" w14:textId="77777777" w:rsidR="009954B8" w:rsidRPr="007A14DA" w:rsidRDefault="009954B8" w:rsidP="000A32DD">
                                  <w:pPr>
                                    <w:spacing w:before="40" w:after="40" w:line="240" w:lineRule="auto"/>
                                    <w:rPr>
                                      <w:sz w:val="20"/>
                                      <w:szCs w:val="20"/>
                                    </w:rPr>
                                  </w:pPr>
                                  <w:r>
                                    <w:rPr>
                                      <w:sz w:val="20"/>
                                      <w:szCs w:val="20"/>
                                    </w:rPr>
                                    <w:t xml:space="preserve">ARA </w:t>
                                  </w:r>
                                </w:p>
                              </w:tc>
                            </w:tr>
                            <w:tr w:rsidR="009954B8" w:rsidRPr="007A14DA" w14:paraId="2C5AFD59" w14:textId="77777777" w:rsidTr="00EA58F4">
                              <w:tc>
                                <w:tcPr>
                                  <w:tcW w:w="3686" w:type="dxa"/>
                                  <w:tcBorders>
                                    <w:top w:val="single" w:sz="6" w:space="0" w:color="BFBFBF" w:themeColor="background1" w:themeShade="BF"/>
                                    <w:bottom w:val="single" w:sz="6" w:space="0" w:color="BFBFBF" w:themeColor="background1" w:themeShade="BF"/>
                                  </w:tcBorders>
                                </w:tcPr>
                                <w:p w14:paraId="3AD60194" w14:textId="77777777" w:rsidR="009954B8" w:rsidRPr="00700712" w:rsidRDefault="009954B8" w:rsidP="000A32DD">
                                  <w:pPr>
                                    <w:spacing w:before="40" w:after="40" w:line="240" w:lineRule="auto"/>
                                    <w:ind w:left="113"/>
                                    <w:jc w:val="left"/>
                                    <w:rPr>
                                      <w:sz w:val="20"/>
                                      <w:szCs w:val="20"/>
                                    </w:rPr>
                                  </w:pPr>
                                  <w:r w:rsidRPr="00125FEF">
                                    <w:rPr>
                                      <w:sz w:val="20"/>
                                      <w:szCs w:val="20"/>
                                    </w:rPr>
                                    <w:t>Price of rendered material (</w:t>
                                  </w:r>
                                  <w:r>
                                    <w:rPr>
                                      <w:sz w:val="20"/>
                                      <w:szCs w:val="20"/>
                                    </w:rPr>
                                    <w:t>AUD</w:t>
                                  </w:r>
                                  <w:r w:rsidRPr="00125FEF">
                                    <w:rPr>
                                      <w:sz w:val="20"/>
                                      <w:szCs w:val="20"/>
                                    </w:rPr>
                                    <w:t>/kg dry weight)</w:t>
                                  </w:r>
                                </w:p>
                              </w:tc>
                              <w:tc>
                                <w:tcPr>
                                  <w:tcW w:w="1162" w:type="dxa"/>
                                  <w:tcBorders>
                                    <w:top w:val="single" w:sz="6" w:space="0" w:color="BFBFBF" w:themeColor="background1" w:themeShade="BF"/>
                                    <w:bottom w:val="single" w:sz="6" w:space="0" w:color="BFBFBF" w:themeColor="background1" w:themeShade="BF"/>
                                  </w:tcBorders>
                                </w:tcPr>
                                <w:p w14:paraId="3F0766EE" w14:textId="77777777" w:rsidR="009954B8" w:rsidRPr="00700712" w:rsidRDefault="009954B8" w:rsidP="000A32DD">
                                  <w:pPr>
                                    <w:spacing w:before="40" w:after="40" w:line="240" w:lineRule="auto"/>
                                    <w:ind w:left="170"/>
                                    <w:rPr>
                                      <w:i/>
                                      <w:sz w:val="20"/>
                                      <w:szCs w:val="20"/>
                                    </w:rPr>
                                  </w:pPr>
                                  <w:r w:rsidRPr="00700712">
                                    <w:rPr>
                                      <w:i/>
                                      <w:sz w:val="20"/>
                                      <w:szCs w:val="20"/>
                                    </w:rPr>
                                    <w:t>P</w:t>
                                  </w:r>
                                  <w:r w:rsidRPr="00700712">
                                    <w:rPr>
                                      <w:i/>
                                      <w:sz w:val="20"/>
                                      <w:szCs w:val="20"/>
                                      <w:vertAlign w:val="subscript"/>
                                    </w:rPr>
                                    <w:t>SRM</w:t>
                                  </w:r>
                                </w:p>
                              </w:tc>
                              <w:tc>
                                <w:tcPr>
                                  <w:tcW w:w="1248" w:type="dxa"/>
                                  <w:tcBorders>
                                    <w:top w:val="single" w:sz="6" w:space="0" w:color="BFBFBF" w:themeColor="background1" w:themeShade="BF"/>
                                    <w:bottom w:val="single" w:sz="6" w:space="0" w:color="BFBFBF" w:themeColor="background1" w:themeShade="BF"/>
                                  </w:tcBorders>
                                </w:tcPr>
                                <w:p w14:paraId="1A0492FA" w14:textId="77777777" w:rsidR="009954B8" w:rsidRPr="00984DDA" w:rsidRDefault="009954B8" w:rsidP="000A32DD">
                                  <w:pPr>
                                    <w:spacing w:before="40" w:after="40" w:line="240" w:lineRule="auto"/>
                                    <w:rPr>
                                      <w:sz w:val="20"/>
                                      <w:szCs w:val="20"/>
                                    </w:rPr>
                                  </w:pPr>
                                  <w:r w:rsidRPr="00984DDA">
                                    <w:rPr>
                                      <w:sz w:val="20"/>
                                      <w:szCs w:val="20"/>
                                    </w:rPr>
                                    <w:t>0.54</w:t>
                                  </w:r>
                                </w:p>
                              </w:tc>
                              <w:tc>
                                <w:tcPr>
                                  <w:tcW w:w="2381" w:type="dxa"/>
                                  <w:tcBorders>
                                    <w:top w:val="single" w:sz="6" w:space="0" w:color="BFBFBF" w:themeColor="background1" w:themeShade="BF"/>
                                    <w:bottom w:val="single" w:sz="6" w:space="0" w:color="BFBFBF" w:themeColor="background1" w:themeShade="BF"/>
                                  </w:tcBorders>
                                </w:tcPr>
                                <w:p w14:paraId="3C87447B" w14:textId="77777777" w:rsidR="009954B8" w:rsidRPr="00984DDA" w:rsidRDefault="009954B8" w:rsidP="000A32DD">
                                  <w:pPr>
                                    <w:spacing w:before="40" w:after="40" w:line="240" w:lineRule="auto"/>
                                    <w:rPr>
                                      <w:sz w:val="20"/>
                                      <w:szCs w:val="20"/>
                                    </w:rPr>
                                  </w:pPr>
                                  <w:r w:rsidRPr="00984DDA">
                                    <w:rPr>
                                      <w:sz w:val="20"/>
                                      <w:szCs w:val="20"/>
                                    </w:rPr>
                                    <w:t>ARA</w:t>
                                  </w:r>
                                </w:p>
                              </w:tc>
                            </w:tr>
                            <w:tr w:rsidR="009954B8" w:rsidRPr="007A14DA" w14:paraId="1EDFA328" w14:textId="77777777" w:rsidTr="00EA58F4">
                              <w:trPr>
                                <w:trHeight w:val="624"/>
                              </w:trPr>
                              <w:tc>
                                <w:tcPr>
                                  <w:tcW w:w="4848" w:type="dxa"/>
                                  <w:gridSpan w:val="2"/>
                                  <w:tcBorders>
                                    <w:top w:val="single" w:sz="6" w:space="0" w:color="BFBFBF" w:themeColor="background1" w:themeShade="BF"/>
                                    <w:bottom w:val="single" w:sz="6" w:space="0" w:color="BFBFBF" w:themeColor="background1" w:themeShade="BF"/>
                                  </w:tcBorders>
                                  <w:vAlign w:val="bottom"/>
                                </w:tcPr>
                                <w:p w14:paraId="39B610EE" w14:textId="77777777" w:rsidR="009954B8" w:rsidRPr="001F2BD5" w:rsidRDefault="009954B8" w:rsidP="005A407C">
                                  <w:pPr>
                                    <w:spacing w:before="40" w:after="40" w:line="240" w:lineRule="auto"/>
                                    <w:jc w:val="left"/>
                                    <w:rPr>
                                      <w:i/>
                                      <w:sz w:val="20"/>
                                      <w:szCs w:val="20"/>
                                    </w:rPr>
                                  </w:pPr>
                                  <w:r>
                                    <w:rPr>
                                      <w:b/>
                                      <w:sz w:val="20"/>
                                      <w:szCs w:val="20"/>
                                    </w:rPr>
                                    <w:t xml:space="preserve">3. </w:t>
                                  </w:r>
                                  <w:r w:rsidRPr="00E00417">
                                    <w:rPr>
                                      <w:b/>
                                      <w:sz w:val="20"/>
                                      <w:szCs w:val="20"/>
                                    </w:rPr>
                                    <w:t>High pressure processing for rendered meals</w:t>
                                  </w:r>
                                </w:p>
                              </w:tc>
                              <w:tc>
                                <w:tcPr>
                                  <w:tcW w:w="1248" w:type="dxa"/>
                                  <w:tcBorders>
                                    <w:top w:val="single" w:sz="6" w:space="0" w:color="BFBFBF" w:themeColor="background1" w:themeShade="BF"/>
                                    <w:bottom w:val="single" w:sz="6" w:space="0" w:color="BFBFBF" w:themeColor="background1" w:themeShade="BF"/>
                                  </w:tcBorders>
                                  <w:vAlign w:val="bottom"/>
                                </w:tcPr>
                                <w:p w14:paraId="18B44CE3" w14:textId="77777777" w:rsidR="009954B8" w:rsidRPr="007A14DA" w:rsidRDefault="009954B8" w:rsidP="005A407C">
                                  <w:pPr>
                                    <w:spacing w:before="40" w:after="40" w:line="240" w:lineRule="auto"/>
                                    <w:jc w:val="left"/>
                                    <w:rPr>
                                      <w:sz w:val="20"/>
                                      <w:szCs w:val="20"/>
                                    </w:rPr>
                                  </w:pPr>
                                </w:p>
                              </w:tc>
                              <w:tc>
                                <w:tcPr>
                                  <w:tcW w:w="2381" w:type="dxa"/>
                                  <w:tcBorders>
                                    <w:top w:val="single" w:sz="6" w:space="0" w:color="BFBFBF" w:themeColor="background1" w:themeShade="BF"/>
                                    <w:bottom w:val="single" w:sz="6" w:space="0" w:color="BFBFBF" w:themeColor="background1" w:themeShade="BF"/>
                                  </w:tcBorders>
                                  <w:vAlign w:val="bottom"/>
                                </w:tcPr>
                                <w:p w14:paraId="57F64C72" w14:textId="77777777" w:rsidR="009954B8" w:rsidRPr="007A14DA" w:rsidRDefault="009954B8" w:rsidP="005A407C">
                                  <w:pPr>
                                    <w:spacing w:before="40" w:after="40" w:line="240" w:lineRule="auto"/>
                                    <w:jc w:val="left"/>
                                    <w:rPr>
                                      <w:sz w:val="20"/>
                                      <w:szCs w:val="20"/>
                                    </w:rPr>
                                  </w:pPr>
                                </w:p>
                              </w:tc>
                            </w:tr>
                            <w:tr w:rsidR="009954B8" w:rsidRPr="007A14DA" w14:paraId="7B2EFB55" w14:textId="77777777" w:rsidTr="00EA58F4">
                              <w:tc>
                                <w:tcPr>
                                  <w:tcW w:w="3686" w:type="dxa"/>
                                  <w:tcBorders>
                                    <w:top w:val="single" w:sz="6" w:space="0" w:color="BFBFBF" w:themeColor="background1" w:themeShade="BF"/>
                                    <w:bottom w:val="single" w:sz="6" w:space="0" w:color="BFBFBF" w:themeColor="background1" w:themeShade="BF"/>
                                  </w:tcBorders>
                                </w:tcPr>
                                <w:p w14:paraId="04830509" w14:textId="77777777" w:rsidR="009954B8" w:rsidRPr="007A14DA" w:rsidRDefault="009954B8" w:rsidP="005A407C">
                                  <w:pPr>
                                    <w:spacing w:before="40" w:after="40" w:line="240" w:lineRule="auto"/>
                                    <w:ind w:left="113"/>
                                    <w:jc w:val="left"/>
                                    <w:rPr>
                                      <w:sz w:val="20"/>
                                      <w:szCs w:val="20"/>
                                    </w:rPr>
                                  </w:pPr>
                                  <w:r>
                                    <w:rPr>
                                      <w:sz w:val="20"/>
                                      <w:szCs w:val="20"/>
                                    </w:rPr>
                                    <w:t>Number of abattoirs requiring upgrade (no.)</w:t>
                                  </w:r>
                                </w:p>
                              </w:tc>
                              <w:tc>
                                <w:tcPr>
                                  <w:tcW w:w="1162" w:type="dxa"/>
                                  <w:tcBorders>
                                    <w:top w:val="single" w:sz="6" w:space="0" w:color="BFBFBF" w:themeColor="background1" w:themeShade="BF"/>
                                    <w:bottom w:val="single" w:sz="6" w:space="0" w:color="BFBFBF" w:themeColor="background1" w:themeShade="BF"/>
                                  </w:tcBorders>
                                </w:tcPr>
                                <w:p w14:paraId="3164D308" w14:textId="77777777" w:rsidR="009954B8" w:rsidRPr="00C67A86" w:rsidRDefault="009954B8" w:rsidP="005A407C">
                                  <w:pPr>
                                    <w:spacing w:before="40" w:after="40" w:line="240" w:lineRule="auto"/>
                                    <w:ind w:left="170"/>
                                    <w:rPr>
                                      <w:i/>
                                      <w:sz w:val="20"/>
                                      <w:szCs w:val="20"/>
                                    </w:rPr>
                                  </w:pPr>
                                  <w:r w:rsidRPr="00C67A86">
                                    <w:rPr>
                                      <w:i/>
                                      <w:sz w:val="20"/>
                                      <w:szCs w:val="20"/>
                                    </w:rPr>
                                    <w:t>N</w:t>
                                  </w:r>
                                  <w:r w:rsidRPr="002E51F6">
                                    <w:rPr>
                                      <w:i/>
                                      <w:sz w:val="20"/>
                                      <w:szCs w:val="20"/>
                                      <w:vertAlign w:val="subscript"/>
                                    </w:rPr>
                                    <w:t>R</w:t>
                                  </w:r>
                                </w:p>
                              </w:tc>
                              <w:tc>
                                <w:tcPr>
                                  <w:tcW w:w="1248" w:type="dxa"/>
                                  <w:tcBorders>
                                    <w:top w:val="single" w:sz="6" w:space="0" w:color="BFBFBF" w:themeColor="background1" w:themeShade="BF"/>
                                    <w:bottom w:val="single" w:sz="6" w:space="0" w:color="BFBFBF" w:themeColor="background1" w:themeShade="BF"/>
                                  </w:tcBorders>
                                </w:tcPr>
                                <w:p w14:paraId="0400AC8E" w14:textId="77777777" w:rsidR="009954B8" w:rsidRPr="00700712" w:rsidRDefault="009954B8" w:rsidP="005A407C">
                                  <w:pPr>
                                    <w:spacing w:before="40" w:after="40" w:line="240" w:lineRule="auto"/>
                                    <w:rPr>
                                      <w:sz w:val="20"/>
                                      <w:szCs w:val="20"/>
                                    </w:rPr>
                                  </w:pPr>
                                  <w:r w:rsidRPr="00700712">
                                    <w:rPr>
                                      <w:sz w:val="20"/>
                                      <w:szCs w:val="20"/>
                                    </w:rPr>
                                    <w:t>70</w:t>
                                  </w:r>
                                </w:p>
                              </w:tc>
                              <w:tc>
                                <w:tcPr>
                                  <w:tcW w:w="2381" w:type="dxa"/>
                                  <w:tcBorders>
                                    <w:top w:val="single" w:sz="6" w:space="0" w:color="BFBFBF" w:themeColor="background1" w:themeShade="BF"/>
                                    <w:bottom w:val="single" w:sz="6" w:space="0" w:color="BFBFBF" w:themeColor="background1" w:themeShade="BF"/>
                                  </w:tcBorders>
                                </w:tcPr>
                                <w:p w14:paraId="28E8847A" w14:textId="77777777" w:rsidR="009954B8" w:rsidRPr="007A14DA" w:rsidRDefault="009954B8" w:rsidP="005A407C">
                                  <w:pPr>
                                    <w:spacing w:before="40" w:after="40" w:line="240" w:lineRule="auto"/>
                                    <w:rPr>
                                      <w:sz w:val="20"/>
                                      <w:szCs w:val="20"/>
                                    </w:rPr>
                                  </w:pPr>
                                  <w:r>
                                    <w:rPr>
                                      <w:sz w:val="20"/>
                                      <w:szCs w:val="20"/>
                                    </w:rPr>
                                    <w:t xml:space="preserve">ARA; </w:t>
                                  </w:r>
                                </w:p>
                              </w:tc>
                            </w:tr>
                            <w:tr w:rsidR="009954B8" w:rsidRPr="007A14DA" w14:paraId="361BC433" w14:textId="77777777" w:rsidTr="00EA58F4">
                              <w:tc>
                                <w:tcPr>
                                  <w:tcW w:w="3686" w:type="dxa"/>
                                  <w:tcBorders>
                                    <w:top w:val="single" w:sz="6" w:space="0" w:color="BFBFBF" w:themeColor="background1" w:themeShade="BF"/>
                                    <w:bottom w:val="single" w:sz="6" w:space="0" w:color="BFBFBF" w:themeColor="background1" w:themeShade="BF"/>
                                  </w:tcBorders>
                                </w:tcPr>
                                <w:p w14:paraId="546CE2DD" w14:textId="77777777" w:rsidR="009954B8" w:rsidRDefault="009954B8" w:rsidP="005A407C">
                                  <w:pPr>
                                    <w:spacing w:before="40" w:after="40" w:line="240" w:lineRule="auto"/>
                                    <w:ind w:left="113"/>
                                    <w:rPr>
                                      <w:sz w:val="20"/>
                                      <w:szCs w:val="20"/>
                                    </w:rPr>
                                  </w:pPr>
                                  <w:r>
                                    <w:rPr>
                                      <w:sz w:val="20"/>
                                      <w:szCs w:val="20"/>
                                    </w:rPr>
                                    <w:t>Cost of high-pressure cleaning upgrade (AUD)</w:t>
                                  </w:r>
                                </w:p>
                              </w:tc>
                              <w:tc>
                                <w:tcPr>
                                  <w:tcW w:w="1162" w:type="dxa"/>
                                  <w:tcBorders>
                                    <w:top w:val="single" w:sz="6" w:space="0" w:color="BFBFBF" w:themeColor="background1" w:themeShade="BF"/>
                                    <w:bottom w:val="single" w:sz="6" w:space="0" w:color="BFBFBF" w:themeColor="background1" w:themeShade="BF"/>
                                  </w:tcBorders>
                                </w:tcPr>
                                <w:p w14:paraId="70482335" w14:textId="77777777" w:rsidR="009954B8" w:rsidRPr="001F2BD5" w:rsidRDefault="009954B8" w:rsidP="005A407C">
                                  <w:pPr>
                                    <w:spacing w:before="40" w:after="40" w:line="240" w:lineRule="auto"/>
                                    <w:ind w:left="170"/>
                                    <w:rPr>
                                      <w:i/>
                                      <w:sz w:val="20"/>
                                      <w:szCs w:val="20"/>
                                    </w:rPr>
                                  </w:pPr>
                                  <w:r>
                                    <w:rPr>
                                      <w:i/>
                                      <w:sz w:val="20"/>
                                      <w:szCs w:val="20"/>
                                    </w:rPr>
                                    <w:t>CU</w:t>
                                  </w:r>
                                  <w:r w:rsidRPr="00495CC5">
                                    <w:rPr>
                                      <w:i/>
                                      <w:sz w:val="20"/>
                                      <w:szCs w:val="20"/>
                                      <w:vertAlign w:val="subscript"/>
                                    </w:rPr>
                                    <w:t>HPP</w:t>
                                  </w:r>
                                </w:p>
                              </w:tc>
                              <w:tc>
                                <w:tcPr>
                                  <w:tcW w:w="1248" w:type="dxa"/>
                                  <w:tcBorders>
                                    <w:top w:val="single" w:sz="6" w:space="0" w:color="BFBFBF" w:themeColor="background1" w:themeShade="BF"/>
                                    <w:bottom w:val="single" w:sz="6" w:space="0" w:color="BFBFBF" w:themeColor="background1" w:themeShade="BF"/>
                                  </w:tcBorders>
                                </w:tcPr>
                                <w:p w14:paraId="1A7B89D0" w14:textId="77777777" w:rsidR="009954B8" w:rsidRDefault="009954B8" w:rsidP="005A407C">
                                  <w:pPr>
                                    <w:spacing w:before="40" w:after="40" w:line="240" w:lineRule="auto"/>
                                    <w:rPr>
                                      <w:sz w:val="20"/>
                                      <w:szCs w:val="20"/>
                                    </w:rPr>
                                  </w:pPr>
                                  <w:r w:rsidRPr="00984DDA">
                                    <w:rPr>
                                      <w:sz w:val="20"/>
                                      <w:szCs w:val="20"/>
                                    </w:rPr>
                                    <w:t>2,000,000</w:t>
                                  </w:r>
                                </w:p>
                              </w:tc>
                              <w:tc>
                                <w:tcPr>
                                  <w:tcW w:w="2381" w:type="dxa"/>
                                  <w:tcBorders>
                                    <w:top w:val="single" w:sz="6" w:space="0" w:color="BFBFBF" w:themeColor="background1" w:themeShade="BF"/>
                                    <w:bottom w:val="single" w:sz="6" w:space="0" w:color="BFBFBF" w:themeColor="background1" w:themeShade="BF"/>
                                  </w:tcBorders>
                                </w:tcPr>
                                <w:p w14:paraId="1062B739" w14:textId="77777777" w:rsidR="009954B8" w:rsidRPr="007A14DA" w:rsidRDefault="009954B8" w:rsidP="005A407C">
                                  <w:pPr>
                                    <w:spacing w:before="40" w:after="40" w:line="240" w:lineRule="auto"/>
                                    <w:jc w:val="left"/>
                                    <w:rPr>
                                      <w:sz w:val="20"/>
                                      <w:szCs w:val="20"/>
                                    </w:rPr>
                                  </w:pPr>
                                  <w:r>
                                    <w:rPr>
                                      <w:sz w:val="20"/>
                                      <w:szCs w:val="20"/>
                                    </w:rPr>
                                    <w:t>ARA; a base estimate, Could be &gt; $5m depending on the upgrades required</w:t>
                                  </w:r>
                                </w:p>
                              </w:tc>
                            </w:tr>
                            <w:tr w:rsidR="009954B8" w:rsidRPr="007A14DA" w14:paraId="47F39F53" w14:textId="77777777" w:rsidTr="00EA58F4">
                              <w:trPr>
                                <w:trHeight w:val="624"/>
                              </w:trPr>
                              <w:tc>
                                <w:tcPr>
                                  <w:tcW w:w="6096" w:type="dxa"/>
                                  <w:gridSpan w:val="3"/>
                                  <w:tcBorders>
                                    <w:top w:val="single" w:sz="6" w:space="0" w:color="BFBFBF" w:themeColor="background1" w:themeShade="BF"/>
                                    <w:bottom w:val="single" w:sz="6" w:space="0" w:color="BFBFBF" w:themeColor="background1" w:themeShade="BF"/>
                                  </w:tcBorders>
                                  <w:vAlign w:val="bottom"/>
                                </w:tcPr>
                                <w:p w14:paraId="62429EBC" w14:textId="77777777" w:rsidR="009954B8" w:rsidRPr="007A14DA" w:rsidRDefault="009954B8" w:rsidP="005A407C">
                                  <w:pPr>
                                    <w:spacing w:before="40" w:after="40" w:line="240" w:lineRule="auto"/>
                                    <w:jc w:val="left"/>
                                    <w:rPr>
                                      <w:sz w:val="20"/>
                                      <w:szCs w:val="20"/>
                                    </w:rPr>
                                  </w:pPr>
                                  <w:r>
                                    <w:rPr>
                                      <w:b/>
                                      <w:sz w:val="20"/>
                                      <w:szCs w:val="20"/>
                                    </w:rPr>
                                    <w:t xml:space="preserve">4. </w:t>
                                  </w:r>
                                  <w:r w:rsidRPr="00E00417">
                                    <w:rPr>
                                      <w:b/>
                                      <w:sz w:val="20"/>
                                      <w:szCs w:val="20"/>
                                    </w:rPr>
                                    <w:t>Dedicated feed lines for production of ruminant feed</w:t>
                                  </w:r>
                                </w:p>
                              </w:tc>
                              <w:tc>
                                <w:tcPr>
                                  <w:tcW w:w="2381" w:type="dxa"/>
                                  <w:tcBorders>
                                    <w:top w:val="single" w:sz="6" w:space="0" w:color="BFBFBF" w:themeColor="background1" w:themeShade="BF"/>
                                    <w:bottom w:val="single" w:sz="6" w:space="0" w:color="BFBFBF" w:themeColor="background1" w:themeShade="BF"/>
                                  </w:tcBorders>
                                  <w:vAlign w:val="bottom"/>
                                </w:tcPr>
                                <w:p w14:paraId="30D073B4" w14:textId="77777777" w:rsidR="009954B8" w:rsidRPr="007A14DA" w:rsidRDefault="009954B8" w:rsidP="005A407C">
                                  <w:pPr>
                                    <w:spacing w:before="40" w:after="40" w:line="240" w:lineRule="auto"/>
                                    <w:jc w:val="left"/>
                                    <w:rPr>
                                      <w:sz w:val="20"/>
                                      <w:szCs w:val="20"/>
                                    </w:rPr>
                                  </w:pPr>
                                </w:p>
                              </w:tc>
                            </w:tr>
                            <w:tr w:rsidR="009954B8" w:rsidRPr="007A14DA" w14:paraId="6968D743" w14:textId="77777777" w:rsidTr="00EA58F4">
                              <w:tc>
                                <w:tcPr>
                                  <w:tcW w:w="3686" w:type="dxa"/>
                                  <w:tcBorders>
                                    <w:top w:val="single" w:sz="6" w:space="0" w:color="BFBFBF" w:themeColor="background1" w:themeShade="BF"/>
                                    <w:bottom w:val="single" w:sz="6" w:space="0" w:color="BFBFBF" w:themeColor="background1" w:themeShade="BF"/>
                                  </w:tcBorders>
                                </w:tcPr>
                                <w:p w14:paraId="6834124F" w14:textId="77777777" w:rsidR="009954B8" w:rsidRDefault="009954B8" w:rsidP="005A407C">
                                  <w:pPr>
                                    <w:spacing w:before="40" w:after="40" w:line="240" w:lineRule="auto"/>
                                    <w:ind w:left="113"/>
                                    <w:rPr>
                                      <w:sz w:val="20"/>
                                      <w:szCs w:val="20"/>
                                    </w:rPr>
                                  </w:pPr>
                                  <w:r>
                                    <w:rPr>
                                      <w:sz w:val="20"/>
                                      <w:szCs w:val="20"/>
                                    </w:rPr>
                                    <w:t>Cost of installing a production line (AUD m)</w:t>
                                  </w:r>
                                </w:p>
                              </w:tc>
                              <w:tc>
                                <w:tcPr>
                                  <w:tcW w:w="1162" w:type="dxa"/>
                                  <w:tcBorders>
                                    <w:top w:val="single" w:sz="6" w:space="0" w:color="BFBFBF" w:themeColor="background1" w:themeShade="BF"/>
                                    <w:bottom w:val="single" w:sz="6" w:space="0" w:color="BFBFBF" w:themeColor="background1" w:themeShade="BF"/>
                                  </w:tcBorders>
                                </w:tcPr>
                                <w:p w14:paraId="30AF54C4" w14:textId="77777777" w:rsidR="009954B8" w:rsidRPr="00453D90" w:rsidRDefault="009954B8" w:rsidP="005A407C">
                                  <w:pPr>
                                    <w:spacing w:before="40" w:after="40" w:line="240" w:lineRule="auto"/>
                                    <w:ind w:left="170"/>
                                    <w:rPr>
                                      <w:i/>
                                      <w:sz w:val="20"/>
                                      <w:szCs w:val="20"/>
                                      <w:vertAlign w:val="subscript"/>
                                    </w:rPr>
                                  </w:pPr>
                                  <w:r>
                                    <w:rPr>
                                      <w:i/>
                                      <w:sz w:val="20"/>
                                      <w:szCs w:val="20"/>
                                    </w:rPr>
                                    <w:t>CU</w:t>
                                  </w:r>
                                  <w:r>
                                    <w:rPr>
                                      <w:i/>
                                      <w:sz w:val="20"/>
                                      <w:szCs w:val="20"/>
                                      <w:vertAlign w:val="subscript"/>
                                    </w:rPr>
                                    <w:t>PL</w:t>
                                  </w:r>
                                </w:p>
                              </w:tc>
                              <w:tc>
                                <w:tcPr>
                                  <w:tcW w:w="1248" w:type="dxa"/>
                                  <w:tcBorders>
                                    <w:top w:val="single" w:sz="6" w:space="0" w:color="BFBFBF" w:themeColor="background1" w:themeShade="BF"/>
                                    <w:bottom w:val="single" w:sz="6" w:space="0" w:color="BFBFBF" w:themeColor="background1" w:themeShade="BF"/>
                                  </w:tcBorders>
                                </w:tcPr>
                                <w:p w14:paraId="5153A48A" w14:textId="77777777" w:rsidR="009954B8" w:rsidRDefault="009954B8" w:rsidP="005A407C">
                                  <w:pPr>
                                    <w:spacing w:before="40" w:after="40" w:line="240" w:lineRule="auto"/>
                                    <w:rPr>
                                      <w:sz w:val="20"/>
                                      <w:szCs w:val="20"/>
                                    </w:rPr>
                                  </w:pPr>
                                  <w:r>
                                    <w:rPr>
                                      <w:sz w:val="20"/>
                                      <w:szCs w:val="20"/>
                                    </w:rPr>
                                    <w:t>75</w:t>
                                  </w:r>
                                </w:p>
                              </w:tc>
                              <w:tc>
                                <w:tcPr>
                                  <w:tcW w:w="2381" w:type="dxa"/>
                                  <w:tcBorders>
                                    <w:top w:val="single" w:sz="6" w:space="0" w:color="BFBFBF" w:themeColor="background1" w:themeShade="BF"/>
                                    <w:bottom w:val="single" w:sz="6" w:space="0" w:color="BFBFBF" w:themeColor="background1" w:themeShade="BF"/>
                                  </w:tcBorders>
                                </w:tcPr>
                                <w:p w14:paraId="10DC2AF6" w14:textId="77777777" w:rsidR="009954B8" w:rsidRPr="007A14DA" w:rsidRDefault="009954B8" w:rsidP="005A407C">
                                  <w:pPr>
                                    <w:spacing w:before="40" w:after="40" w:line="240" w:lineRule="auto"/>
                                    <w:rPr>
                                      <w:sz w:val="20"/>
                                      <w:szCs w:val="20"/>
                                    </w:rPr>
                                  </w:pPr>
                                  <w:r>
                                    <w:rPr>
                                      <w:sz w:val="20"/>
                                      <w:szCs w:val="20"/>
                                    </w:rPr>
                                    <w:t>SFMCA</w:t>
                                  </w:r>
                                </w:p>
                              </w:tc>
                            </w:tr>
                            <w:tr w:rsidR="009954B8" w:rsidRPr="007A14DA" w14:paraId="44A21266" w14:textId="77777777" w:rsidTr="00EA58F4">
                              <w:tc>
                                <w:tcPr>
                                  <w:tcW w:w="3686" w:type="dxa"/>
                                  <w:tcBorders>
                                    <w:top w:val="single" w:sz="6" w:space="0" w:color="BFBFBF" w:themeColor="background1" w:themeShade="BF"/>
                                    <w:bottom w:val="single" w:sz="6" w:space="0" w:color="BFBFBF" w:themeColor="background1" w:themeShade="BF"/>
                                  </w:tcBorders>
                                </w:tcPr>
                                <w:p w14:paraId="76171282" w14:textId="77777777" w:rsidR="009954B8" w:rsidRDefault="009954B8" w:rsidP="005A407C">
                                  <w:pPr>
                                    <w:spacing w:before="40" w:after="40" w:line="240" w:lineRule="auto"/>
                                    <w:ind w:left="113"/>
                                    <w:rPr>
                                      <w:sz w:val="20"/>
                                      <w:szCs w:val="20"/>
                                    </w:rPr>
                                  </w:pPr>
                                  <w:r>
                                    <w:rPr>
                                      <w:sz w:val="20"/>
                                      <w:szCs w:val="20"/>
                                    </w:rPr>
                                    <w:t>Total number of feed mills</w:t>
                                  </w:r>
                                </w:p>
                              </w:tc>
                              <w:tc>
                                <w:tcPr>
                                  <w:tcW w:w="1162" w:type="dxa"/>
                                  <w:tcBorders>
                                    <w:top w:val="single" w:sz="6" w:space="0" w:color="BFBFBF" w:themeColor="background1" w:themeShade="BF"/>
                                    <w:bottom w:val="single" w:sz="6" w:space="0" w:color="BFBFBF" w:themeColor="background1" w:themeShade="BF"/>
                                  </w:tcBorders>
                                </w:tcPr>
                                <w:p w14:paraId="6E2DF804" w14:textId="77777777" w:rsidR="009954B8" w:rsidRDefault="009954B8" w:rsidP="005A407C">
                                  <w:pPr>
                                    <w:spacing w:before="40" w:after="40" w:line="240" w:lineRule="auto"/>
                                    <w:ind w:left="170"/>
                                    <w:rPr>
                                      <w:i/>
                                      <w:sz w:val="20"/>
                                      <w:szCs w:val="20"/>
                                    </w:rPr>
                                  </w:pPr>
                                  <w:r>
                                    <w:rPr>
                                      <w:i/>
                                      <w:sz w:val="20"/>
                                      <w:szCs w:val="20"/>
                                    </w:rPr>
                                    <w:t>NM</w:t>
                                  </w:r>
                                </w:p>
                              </w:tc>
                              <w:tc>
                                <w:tcPr>
                                  <w:tcW w:w="1248" w:type="dxa"/>
                                  <w:tcBorders>
                                    <w:top w:val="single" w:sz="6" w:space="0" w:color="BFBFBF" w:themeColor="background1" w:themeShade="BF"/>
                                    <w:bottom w:val="single" w:sz="6" w:space="0" w:color="BFBFBF" w:themeColor="background1" w:themeShade="BF"/>
                                  </w:tcBorders>
                                </w:tcPr>
                                <w:p w14:paraId="749095C7" w14:textId="77777777" w:rsidR="009954B8" w:rsidRDefault="009954B8" w:rsidP="005A407C">
                                  <w:pPr>
                                    <w:spacing w:before="40" w:after="40" w:line="240" w:lineRule="auto"/>
                                    <w:rPr>
                                      <w:sz w:val="20"/>
                                      <w:szCs w:val="20"/>
                                    </w:rPr>
                                  </w:pPr>
                                  <w:r>
                                    <w:rPr>
                                      <w:sz w:val="20"/>
                                      <w:szCs w:val="20"/>
                                    </w:rPr>
                                    <w:t>195</w:t>
                                  </w:r>
                                </w:p>
                              </w:tc>
                              <w:tc>
                                <w:tcPr>
                                  <w:tcW w:w="2381" w:type="dxa"/>
                                  <w:tcBorders>
                                    <w:top w:val="single" w:sz="6" w:space="0" w:color="BFBFBF" w:themeColor="background1" w:themeShade="BF"/>
                                    <w:bottom w:val="single" w:sz="6" w:space="0" w:color="BFBFBF" w:themeColor="background1" w:themeShade="BF"/>
                                  </w:tcBorders>
                                </w:tcPr>
                                <w:p w14:paraId="69CEFBE3" w14:textId="77777777" w:rsidR="009954B8" w:rsidRDefault="009954B8" w:rsidP="005A407C">
                                  <w:pPr>
                                    <w:spacing w:before="40" w:after="40" w:line="240" w:lineRule="auto"/>
                                    <w:rPr>
                                      <w:sz w:val="20"/>
                                      <w:szCs w:val="20"/>
                                    </w:rPr>
                                  </w:pPr>
                                  <w:r>
                                    <w:rPr>
                                      <w:sz w:val="20"/>
                                      <w:szCs w:val="20"/>
                                    </w:rPr>
                                    <w:t>SFMCA;</w:t>
                                  </w:r>
                                </w:p>
                              </w:tc>
                            </w:tr>
                            <w:tr w:rsidR="009954B8" w:rsidRPr="007A14DA" w14:paraId="7D5553DA" w14:textId="77777777" w:rsidTr="00EA58F4">
                              <w:tc>
                                <w:tcPr>
                                  <w:tcW w:w="3686" w:type="dxa"/>
                                  <w:tcBorders>
                                    <w:top w:val="single" w:sz="6" w:space="0" w:color="BFBFBF" w:themeColor="background1" w:themeShade="BF"/>
                                    <w:bottom w:val="single" w:sz="6" w:space="0" w:color="BFBFBF" w:themeColor="background1" w:themeShade="BF"/>
                                  </w:tcBorders>
                                </w:tcPr>
                                <w:p w14:paraId="18A8B237" w14:textId="77777777" w:rsidR="009954B8" w:rsidRDefault="009954B8" w:rsidP="005A407C">
                                  <w:pPr>
                                    <w:spacing w:before="40" w:after="40" w:line="240" w:lineRule="auto"/>
                                    <w:ind w:left="113"/>
                                    <w:rPr>
                                      <w:sz w:val="20"/>
                                      <w:szCs w:val="20"/>
                                    </w:rPr>
                                  </w:pPr>
                                  <w:r>
                                    <w:rPr>
                                      <w:sz w:val="20"/>
                                      <w:szCs w:val="20"/>
                                    </w:rPr>
                                    <w:t>Proportion of mills installing new lines</w:t>
                                  </w:r>
                                </w:p>
                              </w:tc>
                              <w:tc>
                                <w:tcPr>
                                  <w:tcW w:w="1162" w:type="dxa"/>
                                  <w:tcBorders>
                                    <w:top w:val="single" w:sz="6" w:space="0" w:color="BFBFBF" w:themeColor="background1" w:themeShade="BF"/>
                                    <w:bottom w:val="single" w:sz="6" w:space="0" w:color="BFBFBF" w:themeColor="background1" w:themeShade="BF"/>
                                  </w:tcBorders>
                                </w:tcPr>
                                <w:p w14:paraId="1AC9B5AF" w14:textId="77777777" w:rsidR="009954B8" w:rsidRDefault="009954B8" w:rsidP="005A407C">
                                  <w:pPr>
                                    <w:spacing w:before="40" w:after="40" w:line="240" w:lineRule="auto"/>
                                    <w:ind w:left="170"/>
                                    <w:rPr>
                                      <w:i/>
                                      <w:sz w:val="20"/>
                                      <w:szCs w:val="20"/>
                                    </w:rPr>
                                  </w:pPr>
                                  <w:r>
                                    <w:rPr>
                                      <w:i/>
                                      <w:sz w:val="20"/>
                                      <w:szCs w:val="20"/>
                                    </w:rPr>
                                    <w:t>prop</w:t>
                                  </w:r>
                                </w:p>
                              </w:tc>
                              <w:tc>
                                <w:tcPr>
                                  <w:tcW w:w="1248" w:type="dxa"/>
                                  <w:tcBorders>
                                    <w:top w:val="single" w:sz="6" w:space="0" w:color="BFBFBF" w:themeColor="background1" w:themeShade="BF"/>
                                    <w:bottom w:val="single" w:sz="6" w:space="0" w:color="BFBFBF" w:themeColor="background1" w:themeShade="BF"/>
                                  </w:tcBorders>
                                </w:tcPr>
                                <w:p w14:paraId="474BBBE9" w14:textId="77777777" w:rsidR="009954B8" w:rsidRDefault="009954B8" w:rsidP="005A407C">
                                  <w:pPr>
                                    <w:spacing w:before="40" w:after="40" w:line="240" w:lineRule="auto"/>
                                    <w:rPr>
                                      <w:sz w:val="20"/>
                                      <w:szCs w:val="20"/>
                                    </w:rPr>
                                  </w:pPr>
                                  <w:r>
                                    <w:rPr>
                                      <w:sz w:val="20"/>
                                      <w:szCs w:val="20"/>
                                    </w:rPr>
                                    <w:t>0.3</w:t>
                                  </w:r>
                                </w:p>
                              </w:tc>
                              <w:tc>
                                <w:tcPr>
                                  <w:tcW w:w="2381" w:type="dxa"/>
                                  <w:tcBorders>
                                    <w:top w:val="single" w:sz="6" w:space="0" w:color="BFBFBF" w:themeColor="background1" w:themeShade="BF"/>
                                    <w:bottom w:val="single" w:sz="6" w:space="0" w:color="BFBFBF" w:themeColor="background1" w:themeShade="BF"/>
                                  </w:tcBorders>
                                </w:tcPr>
                                <w:p w14:paraId="3F74C278" w14:textId="77777777" w:rsidR="009954B8" w:rsidRDefault="009954B8" w:rsidP="005A407C">
                                  <w:pPr>
                                    <w:spacing w:before="40" w:after="40" w:line="240" w:lineRule="auto"/>
                                    <w:rPr>
                                      <w:sz w:val="20"/>
                                      <w:szCs w:val="20"/>
                                    </w:rPr>
                                  </w:pPr>
                                  <w:r>
                                    <w:rPr>
                                      <w:sz w:val="20"/>
                                      <w:szCs w:val="20"/>
                                    </w:rPr>
                                    <w:t>estimate</w:t>
                                  </w:r>
                                </w:p>
                              </w:tc>
                            </w:tr>
                            <w:tr w:rsidR="009954B8" w:rsidRPr="007A14DA" w14:paraId="6AFBBE72" w14:textId="77777777" w:rsidTr="00EA58F4">
                              <w:tc>
                                <w:tcPr>
                                  <w:tcW w:w="3686" w:type="dxa"/>
                                  <w:tcBorders>
                                    <w:top w:val="single" w:sz="6" w:space="0" w:color="BFBFBF" w:themeColor="background1" w:themeShade="BF"/>
                                    <w:bottom w:val="single" w:sz="6" w:space="0" w:color="BFBFBF" w:themeColor="background1" w:themeShade="BF"/>
                                  </w:tcBorders>
                                </w:tcPr>
                                <w:p w14:paraId="4D7EBF5E" w14:textId="77777777" w:rsidR="009954B8" w:rsidRDefault="009954B8" w:rsidP="005A407C">
                                  <w:pPr>
                                    <w:spacing w:before="40" w:after="40" w:line="240" w:lineRule="auto"/>
                                    <w:ind w:left="113"/>
                                    <w:rPr>
                                      <w:sz w:val="20"/>
                                      <w:szCs w:val="20"/>
                                    </w:rPr>
                                  </w:pPr>
                                  <w:r>
                                    <w:rPr>
                                      <w:sz w:val="20"/>
                                      <w:szCs w:val="20"/>
                                    </w:rPr>
                                    <w:t>Additional FTE required to manage additional line (no. per feed mill)</w:t>
                                  </w:r>
                                </w:p>
                              </w:tc>
                              <w:tc>
                                <w:tcPr>
                                  <w:tcW w:w="1162" w:type="dxa"/>
                                  <w:tcBorders>
                                    <w:top w:val="single" w:sz="6" w:space="0" w:color="BFBFBF" w:themeColor="background1" w:themeShade="BF"/>
                                    <w:bottom w:val="single" w:sz="6" w:space="0" w:color="BFBFBF" w:themeColor="background1" w:themeShade="BF"/>
                                  </w:tcBorders>
                                </w:tcPr>
                                <w:p w14:paraId="128045A7" w14:textId="77777777" w:rsidR="009954B8" w:rsidRPr="001F2BD5" w:rsidRDefault="009954B8" w:rsidP="005A407C">
                                  <w:pPr>
                                    <w:spacing w:before="40" w:after="40" w:line="240" w:lineRule="auto"/>
                                    <w:ind w:left="170"/>
                                    <w:rPr>
                                      <w:i/>
                                      <w:sz w:val="20"/>
                                      <w:szCs w:val="20"/>
                                    </w:rPr>
                                  </w:pPr>
                                  <w:r>
                                    <w:rPr>
                                      <w:i/>
                                      <w:sz w:val="20"/>
                                      <w:szCs w:val="20"/>
                                    </w:rPr>
                                    <w:t>FTE</w:t>
                                  </w:r>
                                  <w:r>
                                    <w:rPr>
                                      <w:i/>
                                      <w:sz w:val="20"/>
                                      <w:szCs w:val="20"/>
                                      <w:vertAlign w:val="subscript"/>
                                    </w:rPr>
                                    <w:t>SF</w:t>
                                  </w:r>
                                </w:p>
                              </w:tc>
                              <w:tc>
                                <w:tcPr>
                                  <w:tcW w:w="1248" w:type="dxa"/>
                                  <w:tcBorders>
                                    <w:top w:val="single" w:sz="6" w:space="0" w:color="BFBFBF" w:themeColor="background1" w:themeShade="BF"/>
                                    <w:bottom w:val="single" w:sz="6" w:space="0" w:color="BFBFBF" w:themeColor="background1" w:themeShade="BF"/>
                                  </w:tcBorders>
                                </w:tcPr>
                                <w:p w14:paraId="5DFCDC9A" w14:textId="77777777" w:rsidR="009954B8" w:rsidRPr="007A14DA" w:rsidRDefault="009954B8" w:rsidP="005A407C">
                                  <w:pPr>
                                    <w:spacing w:before="40" w:after="40" w:line="240" w:lineRule="auto"/>
                                    <w:rPr>
                                      <w:sz w:val="20"/>
                                      <w:szCs w:val="20"/>
                                    </w:rPr>
                                  </w:pPr>
                                  <w:r>
                                    <w:rPr>
                                      <w:sz w:val="20"/>
                                      <w:szCs w:val="20"/>
                                    </w:rPr>
                                    <w:t>2</w:t>
                                  </w:r>
                                </w:p>
                              </w:tc>
                              <w:tc>
                                <w:tcPr>
                                  <w:tcW w:w="2381" w:type="dxa"/>
                                  <w:tcBorders>
                                    <w:top w:val="single" w:sz="6" w:space="0" w:color="BFBFBF" w:themeColor="background1" w:themeShade="BF"/>
                                    <w:bottom w:val="single" w:sz="6" w:space="0" w:color="BFBFBF" w:themeColor="background1" w:themeShade="BF"/>
                                  </w:tcBorders>
                                </w:tcPr>
                                <w:p w14:paraId="48A7DDFB" w14:textId="77777777" w:rsidR="009954B8" w:rsidRPr="007A14DA" w:rsidRDefault="009954B8" w:rsidP="005A407C">
                                  <w:pPr>
                                    <w:spacing w:before="40" w:after="40" w:line="240" w:lineRule="auto"/>
                                    <w:rPr>
                                      <w:sz w:val="20"/>
                                      <w:szCs w:val="20"/>
                                    </w:rPr>
                                  </w:pPr>
                                  <w:r>
                                    <w:rPr>
                                      <w:sz w:val="20"/>
                                      <w:szCs w:val="20"/>
                                    </w:rPr>
                                    <w:t>SFMCA; could be up to 3 FTE</w:t>
                                  </w:r>
                                </w:p>
                              </w:tc>
                            </w:tr>
                            <w:tr w:rsidR="009954B8" w:rsidRPr="007A14DA" w14:paraId="666DF5BA" w14:textId="77777777" w:rsidTr="00A3372A">
                              <w:tc>
                                <w:tcPr>
                                  <w:tcW w:w="3686" w:type="dxa"/>
                                  <w:tcBorders>
                                    <w:top w:val="single" w:sz="6" w:space="0" w:color="BFBFBF" w:themeColor="background1" w:themeShade="BF"/>
                                    <w:bottom w:val="single" w:sz="6" w:space="0" w:color="BFBFBF" w:themeColor="background1" w:themeShade="BF"/>
                                  </w:tcBorders>
                                </w:tcPr>
                                <w:p w14:paraId="56C61A91" w14:textId="77777777" w:rsidR="009954B8" w:rsidRDefault="009954B8" w:rsidP="005A407C">
                                  <w:pPr>
                                    <w:spacing w:before="40" w:after="40" w:line="240" w:lineRule="auto"/>
                                    <w:ind w:left="113"/>
                                    <w:rPr>
                                      <w:sz w:val="20"/>
                                      <w:szCs w:val="20"/>
                                    </w:rPr>
                                  </w:pPr>
                                  <w:r>
                                    <w:rPr>
                                      <w:sz w:val="20"/>
                                      <w:szCs w:val="20"/>
                                    </w:rPr>
                                    <w:t>Annual salary per FTE (AUD)</w:t>
                                  </w:r>
                                </w:p>
                              </w:tc>
                              <w:tc>
                                <w:tcPr>
                                  <w:tcW w:w="1162" w:type="dxa"/>
                                  <w:tcBorders>
                                    <w:top w:val="single" w:sz="6" w:space="0" w:color="BFBFBF" w:themeColor="background1" w:themeShade="BF"/>
                                    <w:bottom w:val="single" w:sz="6" w:space="0" w:color="BFBFBF" w:themeColor="background1" w:themeShade="BF"/>
                                  </w:tcBorders>
                                </w:tcPr>
                                <w:p w14:paraId="08F60FF6" w14:textId="77777777" w:rsidR="009954B8" w:rsidRPr="001F2BD5" w:rsidRDefault="009954B8" w:rsidP="005A407C">
                                  <w:pPr>
                                    <w:spacing w:before="40" w:after="40" w:line="240" w:lineRule="auto"/>
                                    <w:ind w:left="170"/>
                                    <w:rPr>
                                      <w:i/>
                                      <w:sz w:val="20"/>
                                      <w:szCs w:val="20"/>
                                    </w:rPr>
                                  </w:pPr>
                                  <w:r>
                                    <w:rPr>
                                      <w:i/>
                                      <w:sz w:val="20"/>
                                      <w:szCs w:val="20"/>
                                    </w:rPr>
                                    <w:t>CFTE</w:t>
                                  </w:r>
                                  <w:r w:rsidRPr="009A06F4">
                                    <w:rPr>
                                      <w:i/>
                                      <w:sz w:val="20"/>
                                      <w:szCs w:val="20"/>
                                      <w:vertAlign w:val="subscript"/>
                                    </w:rPr>
                                    <w:t>SF</w:t>
                                  </w:r>
                                </w:p>
                              </w:tc>
                              <w:tc>
                                <w:tcPr>
                                  <w:tcW w:w="1248" w:type="dxa"/>
                                  <w:tcBorders>
                                    <w:top w:val="single" w:sz="6" w:space="0" w:color="BFBFBF" w:themeColor="background1" w:themeShade="BF"/>
                                    <w:bottom w:val="single" w:sz="6" w:space="0" w:color="BFBFBF" w:themeColor="background1" w:themeShade="BF"/>
                                  </w:tcBorders>
                                </w:tcPr>
                                <w:p w14:paraId="62CEF754" w14:textId="77777777" w:rsidR="009954B8" w:rsidRPr="007A14DA" w:rsidRDefault="009954B8" w:rsidP="005A407C">
                                  <w:pPr>
                                    <w:spacing w:before="40" w:after="40" w:line="240" w:lineRule="auto"/>
                                    <w:rPr>
                                      <w:sz w:val="20"/>
                                      <w:szCs w:val="20"/>
                                    </w:rPr>
                                  </w:pPr>
                                  <w:r>
                                    <w:rPr>
                                      <w:sz w:val="20"/>
                                      <w:szCs w:val="20"/>
                                    </w:rPr>
                                    <w:t>70,000</w:t>
                                  </w:r>
                                </w:p>
                              </w:tc>
                              <w:tc>
                                <w:tcPr>
                                  <w:tcW w:w="2381" w:type="dxa"/>
                                  <w:tcBorders>
                                    <w:top w:val="single" w:sz="6" w:space="0" w:color="BFBFBF" w:themeColor="background1" w:themeShade="BF"/>
                                    <w:bottom w:val="single" w:sz="6" w:space="0" w:color="BFBFBF" w:themeColor="background1" w:themeShade="BF"/>
                                  </w:tcBorders>
                                </w:tcPr>
                                <w:p w14:paraId="38F33CBD" w14:textId="77777777" w:rsidR="009954B8" w:rsidRPr="007A14DA" w:rsidRDefault="009954B8" w:rsidP="005A407C">
                                  <w:pPr>
                                    <w:spacing w:before="40" w:after="40" w:line="240" w:lineRule="auto"/>
                                    <w:rPr>
                                      <w:sz w:val="20"/>
                                      <w:szCs w:val="20"/>
                                    </w:rPr>
                                  </w:pPr>
                                  <w:r>
                                    <w:rPr>
                                      <w:sz w:val="20"/>
                                      <w:szCs w:val="20"/>
                                    </w:rPr>
                                    <w:t>SFMCA</w:t>
                                  </w:r>
                                </w:p>
                              </w:tc>
                            </w:tr>
                            <w:tr w:rsidR="009954B8" w:rsidRPr="007A14DA" w14:paraId="63E157F7" w14:textId="77777777" w:rsidTr="00A3372A">
                              <w:tc>
                                <w:tcPr>
                                  <w:tcW w:w="3686" w:type="dxa"/>
                                  <w:tcBorders>
                                    <w:top w:val="single" w:sz="6" w:space="0" w:color="BFBFBF" w:themeColor="background1" w:themeShade="BF"/>
                                    <w:bottom w:val="single" w:sz="4" w:space="0" w:color="auto"/>
                                  </w:tcBorders>
                                </w:tcPr>
                                <w:p w14:paraId="2378BCF5" w14:textId="77777777" w:rsidR="009954B8" w:rsidRDefault="009954B8" w:rsidP="005A407C">
                                  <w:pPr>
                                    <w:spacing w:before="40" w:after="40" w:line="240" w:lineRule="auto"/>
                                    <w:ind w:left="113"/>
                                    <w:rPr>
                                      <w:sz w:val="20"/>
                                      <w:szCs w:val="20"/>
                                    </w:rPr>
                                  </w:pPr>
                                  <w:r>
                                    <w:rPr>
                                      <w:sz w:val="20"/>
                                      <w:szCs w:val="20"/>
                                    </w:rPr>
                                    <w:t>Cost of storage silo (AUD)</w:t>
                                  </w:r>
                                </w:p>
                              </w:tc>
                              <w:tc>
                                <w:tcPr>
                                  <w:tcW w:w="1162" w:type="dxa"/>
                                  <w:tcBorders>
                                    <w:top w:val="single" w:sz="6" w:space="0" w:color="BFBFBF" w:themeColor="background1" w:themeShade="BF"/>
                                    <w:bottom w:val="single" w:sz="4" w:space="0" w:color="auto"/>
                                  </w:tcBorders>
                                </w:tcPr>
                                <w:p w14:paraId="69F5DB6B" w14:textId="77777777" w:rsidR="009954B8" w:rsidRPr="001F2BD5" w:rsidRDefault="009954B8" w:rsidP="005A407C">
                                  <w:pPr>
                                    <w:spacing w:before="40" w:after="40" w:line="240" w:lineRule="auto"/>
                                    <w:ind w:left="170"/>
                                    <w:rPr>
                                      <w:i/>
                                      <w:sz w:val="20"/>
                                      <w:szCs w:val="20"/>
                                    </w:rPr>
                                  </w:pPr>
                                  <w:r>
                                    <w:rPr>
                                      <w:i/>
                                      <w:sz w:val="20"/>
                                      <w:szCs w:val="20"/>
                                    </w:rPr>
                                    <w:t>CS</w:t>
                                  </w:r>
                                </w:p>
                              </w:tc>
                              <w:tc>
                                <w:tcPr>
                                  <w:tcW w:w="1248" w:type="dxa"/>
                                  <w:tcBorders>
                                    <w:top w:val="single" w:sz="6" w:space="0" w:color="BFBFBF" w:themeColor="background1" w:themeShade="BF"/>
                                    <w:bottom w:val="single" w:sz="4" w:space="0" w:color="auto"/>
                                  </w:tcBorders>
                                </w:tcPr>
                                <w:p w14:paraId="17EF7E9A" w14:textId="77777777" w:rsidR="009954B8" w:rsidRPr="007A14DA" w:rsidRDefault="009954B8" w:rsidP="005A407C">
                                  <w:pPr>
                                    <w:spacing w:before="40" w:after="40" w:line="240" w:lineRule="auto"/>
                                    <w:rPr>
                                      <w:sz w:val="20"/>
                                      <w:szCs w:val="20"/>
                                    </w:rPr>
                                  </w:pPr>
                                  <w:r>
                                    <w:rPr>
                                      <w:sz w:val="20"/>
                                      <w:szCs w:val="20"/>
                                    </w:rPr>
                                    <w:t>100,000</w:t>
                                  </w:r>
                                </w:p>
                              </w:tc>
                              <w:tc>
                                <w:tcPr>
                                  <w:tcW w:w="2381" w:type="dxa"/>
                                  <w:tcBorders>
                                    <w:top w:val="single" w:sz="6" w:space="0" w:color="BFBFBF" w:themeColor="background1" w:themeShade="BF"/>
                                    <w:bottom w:val="single" w:sz="4" w:space="0" w:color="auto"/>
                                  </w:tcBorders>
                                </w:tcPr>
                                <w:p w14:paraId="59D88E8B" w14:textId="77777777" w:rsidR="009954B8" w:rsidRPr="007A14DA" w:rsidRDefault="009954B8" w:rsidP="005A407C">
                                  <w:pPr>
                                    <w:spacing w:before="40" w:after="40" w:line="240" w:lineRule="auto"/>
                                    <w:rPr>
                                      <w:sz w:val="20"/>
                                      <w:szCs w:val="20"/>
                                    </w:rPr>
                                  </w:pPr>
                                  <w:r>
                                    <w:rPr>
                                      <w:sz w:val="20"/>
                                      <w:szCs w:val="20"/>
                                    </w:rPr>
                                    <w:t>SFMCA</w:t>
                                  </w:r>
                                </w:p>
                              </w:tc>
                            </w:tr>
                          </w:tbl>
                          <w:p w14:paraId="56F88708" w14:textId="77777777" w:rsidR="009954B8" w:rsidRPr="00F76021" w:rsidRDefault="009954B8" w:rsidP="009954B8"/>
                        </w:txbxContent>
                      </wps:txbx>
                      <wps:bodyPr rot="0" vert="horz" wrap="square" lIns="91440" tIns="45720" rIns="91440" bIns="45720" anchor="t" anchorCtr="0">
                        <a:noAutofit/>
                      </wps:bodyPr>
                    </wps:wsp>
                  </a:graphicData>
                </a:graphic>
              </wp:inline>
            </w:drawing>
          </mc:Choice>
          <mc:Fallback>
            <w:pict>
              <v:shape w14:anchorId="01F2D669" id="Text Box 2" o:spid="_x0000_s1030" type="#_x0000_t202" style="width:415.6pt;height:63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" stroked="f">
                <v:textbox>
                  <w:txbxContent>
                    <w:p w14:paraId="24D26B28" w14:textId="66112FD6" w:rsidR="009954B8" w:rsidRPr="00EC6225" w:rsidRDefault="009954B8" w:rsidP="009954B8">
                      <w:pPr>
                        <w:pStyle w:val="Caption"/>
                      </w:pPr>
                      <w:bookmarkStart w:id="76" w:name="_Toc206083804"/>
                      <w:r>
                        <w:t xml:space="preserve">Table </w:t>
                      </w:r>
                      <w:r>
                        <w:fldChar w:fldCharType="begin"/>
                      </w:r>
                      <w:r>
                        <w:instrText xml:space="preserve"> SEQ Table \* ARABIC </w:instrText>
                      </w:r>
                      <w:r>
                        <w:fldChar w:fldCharType="separate"/>
                      </w:r>
                      <w:r w:rsidR="003D357A">
                        <w:rPr>
                          <w:noProof/>
                        </w:rPr>
                        <w:t>3</w:t>
                      </w:r>
                      <w:r>
                        <w:fldChar w:fldCharType="end"/>
                      </w:r>
                      <w:r>
                        <w:t xml:space="preserve">. </w:t>
                      </w:r>
                      <w:r w:rsidRPr="002E2D5B">
                        <w:t>Data and data sources used to calculate potential adverse outcomes of BSE changes</w:t>
                      </w:r>
                      <w:bookmarkEnd w:id="76"/>
                    </w:p>
                    <w:tbl>
                      <w:tblPr>
                        <w:tblStyle w:val="TableGrid"/>
                        <w:tblW w:w="8477" w:type="dxa"/>
                        <w:tblBorders>
                          <w:left w:val="none" w:sz="0" w:space="0" w:color="auto"/>
                          <w:right w:val="none" w:sz="0" w:space="0" w:color="auto"/>
                          <w:insideV w:val="none" w:sz="0" w:space="0" w:color="auto"/>
                        </w:tblBorders>
                        <w:tblLook w:val="04A0" w:firstRow="1" w:lastRow="0" w:firstColumn="1" w:lastColumn="0" w:noHBand="0" w:noVBand="1"/>
                      </w:tblPr>
                      <w:tblGrid>
                        <w:gridCol w:w="3686"/>
                        <w:gridCol w:w="1162"/>
                        <w:gridCol w:w="1248"/>
                        <w:gridCol w:w="2381"/>
                      </w:tblGrid>
                      <w:tr w:rsidR="009954B8" w:rsidRPr="00202A49" w14:paraId="72981EDA" w14:textId="77777777" w:rsidTr="00EA58F4">
                        <w:tc>
                          <w:tcPr>
                            <w:tcW w:w="3686" w:type="dxa"/>
                            <w:tcBorders>
                              <w:top w:val="single" w:sz="12" w:space="0" w:color="auto"/>
                              <w:bottom w:val="single" w:sz="6" w:space="0" w:color="auto"/>
                            </w:tcBorders>
                          </w:tcPr>
                          <w:p w14:paraId="3765A504" w14:textId="77777777" w:rsidR="009954B8" w:rsidRPr="00202A49" w:rsidRDefault="009954B8" w:rsidP="00F76021">
                            <w:pPr>
                              <w:spacing w:before="20" w:after="20" w:line="240" w:lineRule="auto"/>
                              <w:rPr>
                                <w:sz w:val="20"/>
                                <w:szCs w:val="20"/>
                              </w:rPr>
                            </w:pPr>
                            <w:r w:rsidRPr="00202A49">
                              <w:rPr>
                                <w:sz w:val="20"/>
                                <w:szCs w:val="20"/>
                              </w:rPr>
                              <w:t>Parameter/Variable</w:t>
                            </w:r>
                          </w:p>
                        </w:tc>
                        <w:tc>
                          <w:tcPr>
                            <w:tcW w:w="1162" w:type="dxa"/>
                            <w:tcBorders>
                              <w:top w:val="single" w:sz="12" w:space="0" w:color="auto"/>
                              <w:bottom w:val="single" w:sz="6" w:space="0" w:color="auto"/>
                            </w:tcBorders>
                          </w:tcPr>
                          <w:p w14:paraId="517848DE" w14:textId="77777777" w:rsidR="009954B8" w:rsidRPr="00202A49" w:rsidRDefault="009954B8" w:rsidP="00F76021">
                            <w:pPr>
                              <w:spacing w:before="20" w:after="20" w:line="240" w:lineRule="auto"/>
                              <w:ind w:left="170"/>
                              <w:rPr>
                                <w:sz w:val="20"/>
                                <w:szCs w:val="20"/>
                              </w:rPr>
                            </w:pPr>
                            <w:r w:rsidRPr="00202A49">
                              <w:rPr>
                                <w:sz w:val="20"/>
                                <w:szCs w:val="20"/>
                              </w:rPr>
                              <w:t>Notation</w:t>
                            </w:r>
                          </w:p>
                        </w:tc>
                        <w:tc>
                          <w:tcPr>
                            <w:tcW w:w="1248" w:type="dxa"/>
                            <w:tcBorders>
                              <w:top w:val="single" w:sz="12" w:space="0" w:color="auto"/>
                              <w:bottom w:val="single" w:sz="6" w:space="0" w:color="auto"/>
                            </w:tcBorders>
                          </w:tcPr>
                          <w:p w14:paraId="0E905241" w14:textId="77777777" w:rsidR="009954B8" w:rsidRPr="00202A49" w:rsidRDefault="009954B8" w:rsidP="00F76021">
                            <w:pPr>
                              <w:spacing w:before="20" w:after="20" w:line="240" w:lineRule="auto"/>
                              <w:jc w:val="left"/>
                              <w:rPr>
                                <w:sz w:val="20"/>
                                <w:szCs w:val="20"/>
                              </w:rPr>
                            </w:pPr>
                            <w:r>
                              <w:rPr>
                                <w:sz w:val="20"/>
                                <w:szCs w:val="20"/>
                              </w:rPr>
                              <w:t>Value</w:t>
                            </w:r>
                          </w:p>
                        </w:tc>
                        <w:tc>
                          <w:tcPr>
                            <w:tcW w:w="2381" w:type="dxa"/>
                            <w:tcBorders>
                              <w:top w:val="single" w:sz="12" w:space="0" w:color="auto"/>
                              <w:bottom w:val="single" w:sz="6" w:space="0" w:color="auto"/>
                            </w:tcBorders>
                          </w:tcPr>
                          <w:p w14:paraId="51B046C7" w14:textId="77777777" w:rsidR="009954B8" w:rsidRPr="00202A49" w:rsidRDefault="009954B8" w:rsidP="00F76021">
                            <w:pPr>
                              <w:spacing w:before="20" w:after="20" w:line="240" w:lineRule="auto"/>
                              <w:rPr>
                                <w:sz w:val="20"/>
                                <w:szCs w:val="20"/>
                              </w:rPr>
                            </w:pPr>
                            <w:r w:rsidRPr="00202A49">
                              <w:rPr>
                                <w:sz w:val="20"/>
                                <w:szCs w:val="20"/>
                              </w:rPr>
                              <w:t>Data sources</w:t>
                            </w:r>
                            <w:r>
                              <w:rPr>
                                <w:sz w:val="20"/>
                                <w:szCs w:val="20"/>
                              </w:rPr>
                              <w:t xml:space="preserve"> and notes</w:t>
                            </w:r>
                          </w:p>
                        </w:tc>
                      </w:tr>
                      <w:tr w:rsidR="009954B8" w:rsidRPr="007A14DA" w14:paraId="60EFE5CA" w14:textId="77777777" w:rsidTr="00780468">
                        <w:trPr>
                          <w:trHeight w:val="510"/>
                        </w:trPr>
                        <w:tc>
                          <w:tcPr>
                            <w:tcW w:w="3686" w:type="dxa"/>
                            <w:tcBorders>
                              <w:top w:val="single" w:sz="6" w:space="0" w:color="BFBFBF" w:themeColor="background1" w:themeShade="BF"/>
                              <w:bottom w:val="single" w:sz="6" w:space="0" w:color="BFBFBF" w:themeColor="background1" w:themeShade="BF"/>
                            </w:tcBorders>
                            <w:vAlign w:val="bottom"/>
                          </w:tcPr>
                          <w:p w14:paraId="50E473E0" w14:textId="77777777" w:rsidR="009954B8" w:rsidRPr="007A14DA" w:rsidRDefault="009954B8" w:rsidP="00780468">
                            <w:pPr>
                              <w:spacing w:before="80" w:after="40" w:line="240" w:lineRule="auto"/>
                              <w:jc w:val="left"/>
                              <w:rPr>
                                <w:b/>
                                <w:sz w:val="20"/>
                                <w:szCs w:val="20"/>
                              </w:rPr>
                            </w:pPr>
                            <w:r>
                              <w:rPr>
                                <w:b/>
                                <w:sz w:val="20"/>
                                <w:szCs w:val="20"/>
                              </w:rPr>
                              <w:t xml:space="preserve">1. </w:t>
                            </w:r>
                            <w:r w:rsidRPr="007A14DA">
                              <w:rPr>
                                <w:b/>
                                <w:sz w:val="20"/>
                                <w:szCs w:val="20"/>
                              </w:rPr>
                              <w:t>Loss of negligible risk status</w:t>
                            </w:r>
                          </w:p>
                        </w:tc>
                        <w:tc>
                          <w:tcPr>
                            <w:tcW w:w="1162" w:type="dxa"/>
                            <w:tcBorders>
                              <w:top w:val="single" w:sz="6" w:space="0" w:color="BFBFBF" w:themeColor="background1" w:themeShade="BF"/>
                              <w:bottom w:val="single" w:sz="6" w:space="0" w:color="BFBFBF" w:themeColor="background1" w:themeShade="BF"/>
                            </w:tcBorders>
                            <w:vAlign w:val="bottom"/>
                          </w:tcPr>
                          <w:p w14:paraId="673E3AC1" w14:textId="77777777" w:rsidR="009954B8" w:rsidRPr="007A14DA" w:rsidRDefault="009954B8" w:rsidP="00780468">
                            <w:pPr>
                              <w:spacing w:before="40" w:after="40" w:line="240" w:lineRule="auto"/>
                              <w:ind w:left="170"/>
                              <w:jc w:val="left"/>
                              <w:rPr>
                                <w:sz w:val="20"/>
                                <w:szCs w:val="20"/>
                              </w:rPr>
                            </w:pPr>
                          </w:p>
                        </w:tc>
                        <w:tc>
                          <w:tcPr>
                            <w:tcW w:w="1248" w:type="dxa"/>
                            <w:tcBorders>
                              <w:top w:val="single" w:sz="6" w:space="0" w:color="BFBFBF" w:themeColor="background1" w:themeShade="BF"/>
                              <w:bottom w:val="single" w:sz="6" w:space="0" w:color="BFBFBF" w:themeColor="background1" w:themeShade="BF"/>
                            </w:tcBorders>
                            <w:vAlign w:val="bottom"/>
                          </w:tcPr>
                          <w:p w14:paraId="5960EAE8" w14:textId="77777777" w:rsidR="009954B8" w:rsidRPr="007A14DA" w:rsidRDefault="009954B8" w:rsidP="00780468">
                            <w:pPr>
                              <w:spacing w:before="40" w:after="40" w:line="240" w:lineRule="auto"/>
                              <w:jc w:val="left"/>
                              <w:rPr>
                                <w:sz w:val="20"/>
                                <w:szCs w:val="20"/>
                              </w:rPr>
                            </w:pPr>
                          </w:p>
                        </w:tc>
                        <w:tc>
                          <w:tcPr>
                            <w:tcW w:w="2381" w:type="dxa"/>
                            <w:tcBorders>
                              <w:top w:val="single" w:sz="6" w:space="0" w:color="BFBFBF" w:themeColor="background1" w:themeShade="BF"/>
                              <w:bottom w:val="single" w:sz="6" w:space="0" w:color="BFBFBF" w:themeColor="background1" w:themeShade="BF"/>
                            </w:tcBorders>
                            <w:vAlign w:val="bottom"/>
                          </w:tcPr>
                          <w:p w14:paraId="7620BC97" w14:textId="77777777" w:rsidR="009954B8" w:rsidRPr="007A14DA" w:rsidRDefault="009954B8" w:rsidP="00780468">
                            <w:pPr>
                              <w:spacing w:before="40" w:after="40" w:line="240" w:lineRule="auto"/>
                              <w:jc w:val="left"/>
                              <w:rPr>
                                <w:sz w:val="20"/>
                                <w:szCs w:val="20"/>
                              </w:rPr>
                            </w:pPr>
                          </w:p>
                        </w:tc>
                      </w:tr>
                      <w:tr w:rsidR="009954B8" w:rsidRPr="007A14DA" w14:paraId="37D5785B" w14:textId="77777777" w:rsidTr="00EA58F4">
                        <w:tc>
                          <w:tcPr>
                            <w:tcW w:w="3686" w:type="dxa"/>
                            <w:tcBorders>
                              <w:top w:val="single" w:sz="6" w:space="0" w:color="BFBFBF" w:themeColor="background1" w:themeShade="BF"/>
                              <w:bottom w:val="single" w:sz="6" w:space="0" w:color="BFBFBF" w:themeColor="background1" w:themeShade="BF"/>
                            </w:tcBorders>
                          </w:tcPr>
                          <w:p w14:paraId="6E4F56D0" w14:textId="77777777" w:rsidR="009954B8" w:rsidRPr="007A14DA" w:rsidRDefault="009954B8" w:rsidP="00F76021">
                            <w:pPr>
                              <w:spacing w:before="40" w:after="40" w:line="240" w:lineRule="auto"/>
                              <w:ind w:left="113"/>
                              <w:rPr>
                                <w:sz w:val="20"/>
                                <w:szCs w:val="20"/>
                              </w:rPr>
                            </w:pPr>
                            <w:r>
                              <w:rPr>
                                <w:sz w:val="20"/>
                                <w:szCs w:val="20"/>
                              </w:rPr>
                              <w:t>Value of live cattle exports, AUD m</w:t>
                            </w:r>
                          </w:p>
                        </w:tc>
                        <w:tc>
                          <w:tcPr>
                            <w:tcW w:w="1162" w:type="dxa"/>
                            <w:tcBorders>
                              <w:top w:val="single" w:sz="6" w:space="0" w:color="BFBFBF" w:themeColor="background1" w:themeShade="BF"/>
                              <w:bottom w:val="single" w:sz="6" w:space="0" w:color="BFBFBF" w:themeColor="background1" w:themeShade="BF"/>
                            </w:tcBorders>
                          </w:tcPr>
                          <w:p w14:paraId="74C260FF" w14:textId="77777777" w:rsidR="009954B8" w:rsidRPr="007A14DA" w:rsidRDefault="009954B8" w:rsidP="00F76021">
                            <w:pPr>
                              <w:spacing w:before="40" w:after="40" w:line="240" w:lineRule="auto"/>
                              <w:ind w:left="170"/>
                              <w:rPr>
                                <w:i/>
                                <w:sz w:val="20"/>
                                <w:szCs w:val="20"/>
                              </w:rPr>
                            </w:pPr>
                            <w:r w:rsidRPr="007A14DA">
                              <w:rPr>
                                <w:i/>
                                <w:sz w:val="20"/>
                                <w:szCs w:val="20"/>
                              </w:rPr>
                              <w:t>LC</w:t>
                            </w:r>
                          </w:p>
                        </w:tc>
                        <w:tc>
                          <w:tcPr>
                            <w:tcW w:w="1248" w:type="dxa"/>
                            <w:tcBorders>
                              <w:top w:val="single" w:sz="6" w:space="0" w:color="BFBFBF" w:themeColor="background1" w:themeShade="BF"/>
                              <w:bottom w:val="single" w:sz="6" w:space="0" w:color="BFBFBF" w:themeColor="background1" w:themeShade="BF"/>
                            </w:tcBorders>
                          </w:tcPr>
                          <w:p w14:paraId="60100528" w14:textId="77777777" w:rsidR="009954B8" w:rsidRDefault="009954B8" w:rsidP="00F76021">
                            <w:pPr>
                              <w:spacing w:before="40" w:after="40" w:line="240" w:lineRule="auto"/>
                              <w:jc w:val="left"/>
                              <w:rPr>
                                <w:sz w:val="20"/>
                                <w:szCs w:val="20"/>
                              </w:rPr>
                            </w:pPr>
                            <w:r>
                              <w:rPr>
                                <w:sz w:val="20"/>
                                <w:szCs w:val="20"/>
                              </w:rPr>
                              <w:t>869.8</w:t>
                            </w:r>
                          </w:p>
                        </w:tc>
                        <w:tc>
                          <w:tcPr>
                            <w:tcW w:w="2381" w:type="dxa"/>
                            <w:tcBorders>
                              <w:top w:val="single" w:sz="6" w:space="0" w:color="BFBFBF" w:themeColor="background1" w:themeShade="BF"/>
                              <w:bottom w:val="single" w:sz="6" w:space="0" w:color="BFBFBF" w:themeColor="background1" w:themeShade="BF"/>
                            </w:tcBorders>
                          </w:tcPr>
                          <w:p w14:paraId="61A2A65F" w14:textId="77777777" w:rsidR="009954B8" w:rsidRPr="007A14DA" w:rsidRDefault="009954B8" w:rsidP="00F76021">
                            <w:pPr>
                              <w:spacing w:before="40" w:after="40" w:line="240" w:lineRule="auto"/>
                              <w:jc w:val="left"/>
                              <w:rPr>
                                <w:sz w:val="20"/>
                                <w:szCs w:val="20"/>
                              </w:rPr>
                            </w:pPr>
                            <w:r>
                              <w:rPr>
                                <w:sz w:val="20"/>
                                <w:szCs w:val="20"/>
                              </w:rPr>
                              <w:t>ABS, ABARES; 2023-24;</w:t>
                            </w:r>
                          </w:p>
                        </w:tc>
                      </w:tr>
                      <w:tr w:rsidR="009954B8" w:rsidRPr="007A14DA" w14:paraId="556FBC59" w14:textId="77777777" w:rsidTr="00EA58F4">
                        <w:tc>
                          <w:tcPr>
                            <w:tcW w:w="3686" w:type="dxa"/>
                            <w:tcBorders>
                              <w:top w:val="single" w:sz="6" w:space="0" w:color="BFBFBF" w:themeColor="background1" w:themeShade="BF"/>
                              <w:bottom w:val="single" w:sz="6" w:space="0" w:color="BFBFBF" w:themeColor="background1" w:themeShade="BF"/>
                            </w:tcBorders>
                          </w:tcPr>
                          <w:p w14:paraId="13771FD7" w14:textId="77777777" w:rsidR="009954B8" w:rsidRPr="007A14DA" w:rsidRDefault="009954B8" w:rsidP="00F76021">
                            <w:pPr>
                              <w:spacing w:before="40" w:after="40" w:line="240" w:lineRule="auto"/>
                              <w:ind w:left="113"/>
                              <w:rPr>
                                <w:sz w:val="20"/>
                                <w:szCs w:val="20"/>
                              </w:rPr>
                            </w:pPr>
                            <w:r>
                              <w:rPr>
                                <w:sz w:val="20"/>
                                <w:szCs w:val="20"/>
                              </w:rPr>
                              <w:t>Value of beef and veal exports, AUD m</w:t>
                            </w:r>
                          </w:p>
                        </w:tc>
                        <w:tc>
                          <w:tcPr>
                            <w:tcW w:w="1162" w:type="dxa"/>
                            <w:tcBorders>
                              <w:top w:val="single" w:sz="6" w:space="0" w:color="BFBFBF" w:themeColor="background1" w:themeShade="BF"/>
                              <w:bottom w:val="single" w:sz="6" w:space="0" w:color="BFBFBF" w:themeColor="background1" w:themeShade="BF"/>
                            </w:tcBorders>
                          </w:tcPr>
                          <w:p w14:paraId="5C0D3A58" w14:textId="77777777" w:rsidR="009954B8" w:rsidRPr="007A14DA" w:rsidRDefault="009954B8" w:rsidP="00F76021">
                            <w:pPr>
                              <w:spacing w:before="40" w:after="40" w:line="240" w:lineRule="auto"/>
                              <w:ind w:left="170"/>
                              <w:rPr>
                                <w:i/>
                                <w:sz w:val="20"/>
                                <w:szCs w:val="20"/>
                              </w:rPr>
                            </w:pPr>
                            <w:r>
                              <w:rPr>
                                <w:i/>
                                <w:sz w:val="20"/>
                                <w:szCs w:val="20"/>
                              </w:rPr>
                              <w:t>M</w:t>
                            </w:r>
                          </w:p>
                        </w:tc>
                        <w:tc>
                          <w:tcPr>
                            <w:tcW w:w="1248" w:type="dxa"/>
                            <w:tcBorders>
                              <w:top w:val="single" w:sz="6" w:space="0" w:color="BFBFBF" w:themeColor="background1" w:themeShade="BF"/>
                              <w:bottom w:val="single" w:sz="6" w:space="0" w:color="BFBFBF" w:themeColor="background1" w:themeShade="BF"/>
                            </w:tcBorders>
                          </w:tcPr>
                          <w:p w14:paraId="02842780" w14:textId="77777777" w:rsidR="009954B8" w:rsidRDefault="009954B8" w:rsidP="00F76021">
                            <w:pPr>
                              <w:spacing w:before="40" w:after="40" w:line="240" w:lineRule="auto"/>
                              <w:rPr>
                                <w:sz w:val="20"/>
                                <w:szCs w:val="20"/>
                              </w:rPr>
                            </w:pPr>
                            <w:r>
                              <w:rPr>
                                <w:sz w:val="20"/>
                                <w:szCs w:val="20"/>
                              </w:rPr>
                              <w:t>12,407.8</w:t>
                            </w:r>
                          </w:p>
                        </w:tc>
                        <w:tc>
                          <w:tcPr>
                            <w:tcW w:w="2381" w:type="dxa"/>
                            <w:tcBorders>
                              <w:top w:val="single" w:sz="6" w:space="0" w:color="BFBFBF" w:themeColor="background1" w:themeShade="BF"/>
                              <w:bottom w:val="single" w:sz="6" w:space="0" w:color="BFBFBF" w:themeColor="background1" w:themeShade="BF"/>
                            </w:tcBorders>
                          </w:tcPr>
                          <w:p w14:paraId="22EC11B3" w14:textId="77777777" w:rsidR="009954B8" w:rsidRPr="007A14DA" w:rsidRDefault="009954B8" w:rsidP="00F76021">
                            <w:pPr>
                              <w:spacing w:before="40" w:after="40" w:line="240" w:lineRule="auto"/>
                              <w:rPr>
                                <w:sz w:val="20"/>
                                <w:szCs w:val="20"/>
                              </w:rPr>
                            </w:pPr>
                            <w:r w:rsidRPr="00870B1C">
                              <w:rPr>
                                <w:sz w:val="20"/>
                                <w:szCs w:val="20"/>
                              </w:rPr>
                              <w:t>ABS, ABARES; 2023-24;</w:t>
                            </w:r>
                          </w:p>
                        </w:tc>
                      </w:tr>
                      <w:tr w:rsidR="009954B8" w:rsidRPr="007A14DA" w14:paraId="124AFCAD" w14:textId="77777777" w:rsidTr="00EA58F4">
                        <w:tc>
                          <w:tcPr>
                            <w:tcW w:w="3686" w:type="dxa"/>
                            <w:tcBorders>
                              <w:top w:val="single" w:sz="6" w:space="0" w:color="BFBFBF" w:themeColor="background1" w:themeShade="BF"/>
                              <w:bottom w:val="single" w:sz="6" w:space="0" w:color="BFBFBF" w:themeColor="background1" w:themeShade="BF"/>
                            </w:tcBorders>
                          </w:tcPr>
                          <w:p w14:paraId="3A997547" w14:textId="77777777" w:rsidR="009954B8" w:rsidRPr="007A14DA" w:rsidRDefault="009954B8" w:rsidP="00F76021">
                            <w:pPr>
                              <w:spacing w:before="40" w:after="40" w:line="240" w:lineRule="auto"/>
                              <w:ind w:left="113"/>
                              <w:rPr>
                                <w:sz w:val="20"/>
                                <w:szCs w:val="20"/>
                              </w:rPr>
                            </w:pPr>
                            <w:r>
                              <w:rPr>
                                <w:sz w:val="20"/>
                                <w:szCs w:val="20"/>
                              </w:rPr>
                              <w:t>Value of bovine rendered meals, AUD m</w:t>
                            </w:r>
                          </w:p>
                        </w:tc>
                        <w:tc>
                          <w:tcPr>
                            <w:tcW w:w="1162" w:type="dxa"/>
                            <w:tcBorders>
                              <w:top w:val="single" w:sz="6" w:space="0" w:color="BFBFBF" w:themeColor="background1" w:themeShade="BF"/>
                              <w:bottom w:val="single" w:sz="6" w:space="0" w:color="BFBFBF" w:themeColor="background1" w:themeShade="BF"/>
                            </w:tcBorders>
                          </w:tcPr>
                          <w:p w14:paraId="2C35018E" w14:textId="77777777" w:rsidR="009954B8" w:rsidRPr="007A14DA" w:rsidRDefault="009954B8" w:rsidP="00F76021">
                            <w:pPr>
                              <w:spacing w:before="40" w:after="40" w:line="240" w:lineRule="auto"/>
                              <w:ind w:left="170"/>
                              <w:rPr>
                                <w:i/>
                                <w:sz w:val="20"/>
                                <w:szCs w:val="20"/>
                              </w:rPr>
                            </w:pPr>
                            <w:r>
                              <w:rPr>
                                <w:i/>
                                <w:sz w:val="20"/>
                                <w:szCs w:val="20"/>
                              </w:rPr>
                              <w:t>BR</w:t>
                            </w:r>
                          </w:p>
                        </w:tc>
                        <w:tc>
                          <w:tcPr>
                            <w:tcW w:w="1248" w:type="dxa"/>
                            <w:tcBorders>
                              <w:top w:val="single" w:sz="6" w:space="0" w:color="BFBFBF" w:themeColor="background1" w:themeShade="BF"/>
                              <w:bottom w:val="single" w:sz="6" w:space="0" w:color="BFBFBF" w:themeColor="background1" w:themeShade="BF"/>
                            </w:tcBorders>
                          </w:tcPr>
                          <w:p w14:paraId="0889797C" w14:textId="77777777" w:rsidR="009954B8" w:rsidRDefault="009954B8" w:rsidP="00F76021">
                            <w:pPr>
                              <w:spacing w:before="40" w:after="40" w:line="240" w:lineRule="auto"/>
                              <w:rPr>
                                <w:sz w:val="20"/>
                                <w:szCs w:val="20"/>
                              </w:rPr>
                            </w:pPr>
                            <w:r>
                              <w:rPr>
                                <w:sz w:val="20"/>
                                <w:szCs w:val="20"/>
                              </w:rPr>
                              <w:t>1,556.0</w:t>
                            </w:r>
                          </w:p>
                        </w:tc>
                        <w:tc>
                          <w:tcPr>
                            <w:tcW w:w="2381" w:type="dxa"/>
                            <w:tcBorders>
                              <w:top w:val="single" w:sz="6" w:space="0" w:color="BFBFBF" w:themeColor="background1" w:themeShade="BF"/>
                              <w:bottom w:val="single" w:sz="6" w:space="0" w:color="BFBFBF" w:themeColor="background1" w:themeShade="BF"/>
                            </w:tcBorders>
                          </w:tcPr>
                          <w:p w14:paraId="1D0635CF" w14:textId="77777777" w:rsidR="009954B8" w:rsidRPr="007A14DA" w:rsidRDefault="009954B8" w:rsidP="00F76021">
                            <w:pPr>
                              <w:spacing w:before="40" w:after="40" w:line="240" w:lineRule="auto"/>
                              <w:rPr>
                                <w:sz w:val="20"/>
                                <w:szCs w:val="20"/>
                              </w:rPr>
                            </w:pPr>
                            <w:r w:rsidRPr="00870B1C">
                              <w:rPr>
                                <w:sz w:val="20"/>
                                <w:szCs w:val="20"/>
                              </w:rPr>
                              <w:t>ABS, ABARES; 2023-24;</w:t>
                            </w:r>
                          </w:p>
                        </w:tc>
                      </w:tr>
                      <w:tr w:rsidR="009954B8" w:rsidRPr="007A14DA" w14:paraId="4CB09A6C" w14:textId="77777777" w:rsidTr="00EA58F4">
                        <w:tc>
                          <w:tcPr>
                            <w:tcW w:w="3686" w:type="dxa"/>
                            <w:tcBorders>
                              <w:top w:val="single" w:sz="6" w:space="0" w:color="BFBFBF" w:themeColor="background1" w:themeShade="BF"/>
                              <w:bottom w:val="single" w:sz="6" w:space="0" w:color="BFBFBF" w:themeColor="background1" w:themeShade="BF"/>
                            </w:tcBorders>
                          </w:tcPr>
                          <w:p w14:paraId="61CC2E58" w14:textId="77777777" w:rsidR="009954B8" w:rsidRDefault="009954B8" w:rsidP="00F76021">
                            <w:pPr>
                              <w:spacing w:before="40" w:after="40" w:line="240" w:lineRule="auto"/>
                              <w:ind w:left="113"/>
                              <w:rPr>
                                <w:sz w:val="20"/>
                                <w:szCs w:val="20"/>
                              </w:rPr>
                            </w:pPr>
                            <w:r>
                              <w:rPr>
                                <w:sz w:val="20"/>
                                <w:szCs w:val="20"/>
                              </w:rPr>
                              <w:t>Other</w:t>
                            </w:r>
                          </w:p>
                        </w:tc>
                        <w:tc>
                          <w:tcPr>
                            <w:tcW w:w="1162" w:type="dxa"/>
                            <w:tcBorders>
                              <w:top w:val="single" w:sz="6" w:space="0" w:color="BFBFBF" w:themeColor="background1" w:themeShade="BF"/>
                              <w:bottom w:val="single" w:sz="6" w:space="0" w:color="BFBFBF" w:themeColor="background1" w:themeShade="BF"/>
                            </w:tcBorders>
                          </w:tcPr>
                          <w:p w14:paraId="711ADA54" w14:textId="77777777" w:rsidR="009954B8" w:rsidRDefault="009954B8" w:rsidP="00F76021">
                            <w:pPr>
                              <w:spacing w:before="40" w:after="40" w:line="240" w:lineRule="auto"/>
                              <w:ind w:left="170"/>
                              <w:rPr>
                                <w:i/>
                                <w:sz w:val="20"/>
                                <w:szCs w:val="20"/>
                              </w:rPr>
                            </w:pPr>
                            <w:r>
                              <w:rPr>
                                <w:i/>
                                <w:sz w:val="20"/>
                                <w:szCs w:val="20"/>
                              </w:rPr>
                              <w:t>Oth</w:t>
                            </w:r>
                          </w:p>
                        </w:tc>
                        <w:tc>
                          <w:tcPr>
                            <w:tcW w:w="1248" w:type="dxa"/>
                            <w:tcBorders>
                              <w:top w:val="single" w:sz="6" w:space="0" w:color="BFBFBF" w:themeColor="background1" w:themeShade="BF"/>
                              <w:bottom w:val="single" w:sz="6" w:space="0" w:color="BFBFBF" w:themeColor="background1" w:themeShade="BF"/>
                            </w:tcBorders>
                          </w:tcPr>
                          <w:p w14:paraId="2E36CC17" w14:textId="77777777" w:rsidR="009954B8" w:rsidRDefault="009954B8" w:rsidP="00F76021">
                            <w:pPr>
                              <w:spacing w:before="40" w:after="40" w:line="240" w:lineRule="auto"/>
                              <w:rPr>
                                <w:sz w:val="20"/>
                                <w:szCs w:val="20"/>
                              </w:rPr>
                            </w:pPr>
                            <w:r>
                              <w:rPr>
                                <w:sz w:val="20"/>
                                <w:szCs w:val="20"/>
                              </w:rPr>
                              <w:t>1,233.5</w:t>
                            </w:r>
                          </w:p>
                        </w:tc>
                        <w:tc>
                          <w:tcPr>
                            <w:tcW w:w="2381" w:type="dxa"/>
                            <w:tcBorders>
                              <w:top w:val="single" w:sz="6" w:space="0" w:color="BFBFBF" w:themeColor="background1" w:themeShade="BF"/>
                              <w:bottom w:val="single" w:sz="6" w:space="0" w:color="BFBFBF" w:themeColor="background1" w:themeShade="BF"/>
                            </w:tcBorders>
                          </w:tcPr>
                          <w:p w14:paraId="074066B3" w14:textId="77777777" w:rsidR="009954B8" w:rsidRDefault="009954B8" w:rsidP="00F76021">
                            <w:pPr>
                              <w:spacing w:before="40" w:after="40" w:line="240" w:lineRule="auto"/>
                              <w:rPr>
                                <w:sz w:val="20"/>
                                <w:szCs w:val="20"/>
                              </w:rPr>
                            </w:pPr>
                            <w:r>
                              <w:rPr>
                                <w:sz w:val="20"/>
                                <w:szCs w:val="20"/>
                              </w:rPr>
                              <w:t>ABS, ABARES; 2023-24; includes hides and skins, meals, animal oils and fats</w:t>
                            </w:r>
                          </w:p>
                        </w:tc>
                      </w:tr>
                      <w:tr w:rsidR="009954B8" w:rsidRPr="007A14DA" w14:paraId="1220D20B" w14:textId="77777777" w:rsidTr="00EA58F4">
                        <w:tc>
                          <w:tcPr>
                            <w:tcW w:w="3686" w:type="dxa"/>
                            <w:tcBorders>
                              <w:top w:val="single" w:sz="6" w:space="0" w:color="BFBFBF" w:themeColor="background1" w:themeShade="BF"/>
                              <w:bottom w:val="single" w:sz="6" w:space="0" w:color="BFBFBF" w:themeColor="background1" w:themeShade="BF"/>
                            </w:tcBorders>
                          </w:tcPr>
                          <w:p w14:paraId="2E210052" w14:textId="77777777" w:rsidR="009954B8" w:rsidRDefault="009954B8" w:rsidP="00F76021">
                            <w:pPr>
                              <w:spacing w:before="40" w:after="40" w:line="240" w:lineRule="auto"/>
                              <w:ind w:left="113"/>
                              <w:rPr>
                                <w:sz w:val="20"/>
                                <w:szCs w:val="20"/>
                              </w:rPr>
                            </w:pPr>
                            <w:r>
                              <w:rPr>
                                <w:sz w:val="20"/>
                                <w:szCs w:val="20"/>
                              </w:rPr>
                              <w:t>Domestic price of beef (AUD/kg carcase weight</w:t>
                            </w:r>
                          </w:p>
                        </w:tc>
                        <w:tc>
                          <w:tcPr>
                            <w:tcW w:w="1162" w:type="dxa"/>
                            <w:tcBorders>
                              <w:top w:val="single" w:sz="6" w:space="0" w:color="BFBFBF" w:themeColor="background1" w:themeShade="BF"/>
                              <w:bottom w:val="single" w:sz="6" w:space="0" w:color="BFBFBF" w:themeColor="background1" w:themeShade="BF"/>
                            </w:tcBorders>
                          </w:tcPr>
                          <w:p w14:paraId="43161086" w14:textId="77777777" w:rsidR="009954B8" w:rsidRDefault="009954B8" w:rsidP="00F76021">
                            <w:pPr>
                              <w:spacing w:before="40" w:after="40" w:line="240" w:lineRule="auto"/>
                              <w:ind w:left="170"/>
                              <w:rPr>
                                <w:i/>
                                <w:sz w:val="20"/>
                                <w:szCs w:val="20"/>
                              </w:rPr>
                            </w:pPr>
                            <w:r>
                              <w:rPr>
                                <w:i/>
                                <w:sz w:val="20"/>
                                <w:szCs w:val="20"/>
                              </w:rPr>
                              <w:t>P</w:t>
                            </w:r>
                            <w:r w:rsidRPr="009B7346">
                              <w:rPr>
                                <w:i/>
                                <w:sz w:val="20"/>
                                <w:szCs w:val="20"/>
                                <w:vertAlign w:val="subscript"/>
                              </w:rPr>
                              <w:t>D</w:t>
                            </w:r>
                          </w:p>
                        </w:tc>
                        <w:tc>
                          <w:tcPr>
                            <w:tcW w:w="1248" w:type="dxa"/>
                            <w:tcBorders>
                              <w:top w:val="single" w:sz="6" w:space="0" w:color="BFBFBF" w:themeColor="background1" w:themeShade="BF"/>
                              <w:bottom w:val="single" w:sz="6" w:space="0" w:color="BFBFBF" w:themeColor="background1" w:themeShade="BF"/>
                            </w:tcBorders>
                          </w:tcPr>
                          <w:p w14:paraId="4084AA23" w14:textId="77777777" w:rsidR="009954B8" w:rsidRDefault="009954B8" w:rsidP="00F76021">
                            <w:pPr>
                              <w:spacing w:before="40" w:after="40" w:line="240" w:lineRule="auto"/>
                              <w:rPr>
                                <w:sz w:val="20"/>
                                <w:szCs w:val="20"/>
                              </w:rPr>
                            </w:pPr>
                            <w:r>
                              <w:rPr>
                                <w:sz w:val="20"/>
                                <w:szCs w:val="20"/>
                              </w:rPr>
                              <w:t>4.66</w:t>
                            </w:r>
                          </w:p>
                        </w:tc>
                        <w:tc>
                          <w:tcPr>
                            <w:tcW w:w="2381" w:type="dxa"/>
                            <w:tcBorders>
                              <w:top w:val="single" w:sz="6" w:space="0" w:color="BFBFBF" w:themeColor="background1" w:themeShade="BF"/>
                              <w:bottom w:val="single" w:sz="6" w:space="0" w:color="BFBFBF" w:themeColor="background1" w:themeShade="BF"/>
                            </w:tcBorders>
                          </w:tcPr>
                          <w:p w14:paraId="3C7FE92A" w14:textId="77777777" w:rsidR="009954B8" w:rsidRDefault="009954B8" w:rsidP="00F76021">
                            <w:pPr>
                              <w:spacing w:before="40" w:after="40" w:line="240" w:lineRule="auto"/>
                              <w:rPr>
                                <w:sz w:val="20"/>
                                <w:szCs w:val="20"/>
                              </w:rPr>
                            </w:pPr>
                            <w:r>
                              <w:rPr>
                                <w:sz w:val="20"/>
                                <w:szCs w:val="20"/>
                              </w:rPr>
                              <w:t>ABARES 2024; data for 2023-24</w:t>
                            </w:r>
                          </w:p>
                        </w:tc>
                      </w:tr>
                      <w:tr w:rsidR="009954B8" w:rsidRPr="007A14DA" w14:paraId="6A771E4E" w14:textId="77777777" w:rsidTr="00EA58F4">
                        <w:tc>
                          <w:tcPr>
                            <w:tcW w:w="3686" w:type="dxa"/>
                            <w:tcBorders>
                              <w:top w:val="single" w:sz="6" w:space="0" w:color="BFBFBF" w:themeColor="background1" w:themeShade="BF"/>
                              <w:bottom w:val="single" w:sz="6" w:space="0" w:color="BFBFBF" w:themeColor="background1" w:themeShade="BF"/>
                            </w:tcBorders>
                          </w:tcPr>
                          <w:p w14:paraId="1026A50C" w14:textId="77777777" w:rsidR="009954B8" w:rsidRDefault="009954B8" w:rsidP="00F76021">
                            <w:pPr>
                              <w:spacing w:before="40" w:after="40" w:line="240" w:lineRule="auto"/>
                              <w:ind w:left="113"/>
                              <w:rPr>
                                <w:sz w:val="20"/>
                                <w:szCs w:val="20"/>
                              </w:rPr>
                            </w:pPr>
                            <w:r>
                              <w:rPr>
                                <w:sz w:val="20"/>
                                <w:szCs w:val="20"/>
                              </w:rPr>
                              <w:t>Volume of beef exports absorbed by the domestic market (m kg)</w:t>
                            </w:r>
                          </w:p>
                        </w:tc>
                        <w:tc>
                          <w:tcPr>
                            <w:tcW w:w="1162" w:type="dxa"/>
                            <w:tcBorders>
                              <w:top w:val="single" w:sz="6" w:space="0" w:color="BFBFBF" w:themeColor="background1" w:themeShade="BF"/>
                              <w:bottom w:val="single" w:sz="6" w:space="0" w:color="BFBFBF" w:themeColor="background1" w:themeShade="BF"/>
                            </w:tcBorders>
                          </w:tcPr>
                          <w:p w14:paraId="359687EA" w14:textId="77777777" w:rsidR="009954B8" w:rsidRDefault="009954B8" w:rsidP="00F76021">
                            <w:pPr>
                              <w:spacing w:before="40" w:after="40" w:line="240" w:lineRule="auto"/>
                              <w:ind w:left="170"/>
                              <w:rPr>
                                <w:i/>
                                <w:sz w:val="20"/>
                                <w:szCs w:val="20"/>
                              </w:rPr>
                            </w:pPr>
                            <w:r>
                              <w:rPr>
                                <w:i/>
                                <w:sz w:val="20"/>
                                <w:szCs w:val="20"/>
                              </w:rPr>
                              <w:t>V</w:t>
                            </w:r>
                            <w:r w:rsidRPr="004F23A5">
                              <w:rPr>
                                <w:i/>
                                <w:sz w:val="20"/>
                                <w:szCs w:val="20"/>
                                <w:vertAlign w:val="subscript"/>
                              </w:rPr>
                              <w:t>D</w:t>
                            </w:r>
                          </w:p>
                        </w:tc>
                        <w:tc>
                          <w:tcPr>
                            <w:tcW w:w="1248" w:type="dxa"/>
                            <w:tcBorders>
                              <w:top w:val="single" w:sz="6" w:space="0" w:color="BFBFBF" w:themeColor="background1" w:themeShade="BF"/>
                              <w:bottom w:val="single" w:sz="6" w:space="0" w:color="BFBFBF" w:themeColor="background1" w:themeShade="BF"/>
                            </w:tcBorders>
                          </w:tcPr>
                          <w:p w14:paraId="6AE8EB94" w14:textId="77777777" w:rsidR="009954B8" w:rsidRDefault="009954B8" w:rsidP="00DC7F85">
                            <w:pPr>
                              <w:spacing w:before="40" w:after="40" w:line="240" w:lineRule="auto"/>
                              <w:rPr>
                                <w:sz w:val="20"/>
                                <w:szCs w:val="20"/>
                              </w:rPr>
                            </w:pPr>
                            <w:r w:rsidRPr="00DC7F85">
                              <w:rPr>
                                <w:sz w:val="20"/>
                                <w:szCs w:val="20"/>
                              </w:rPr>
                              <w:t>1,080</w:t>
                            </w:r>
                          </w:p>
                        </w:tc>
                        <w:tc>
                          <w:tcPr>
                            <w:tcW w:w="2381" w:type="dxa"/>
                            <w:tcBorders>
                              <w:top w:val="single" w:sz="6" w:space="0" w:color="BFBFBF" w:themeColor="background1" w:themeShade="BF"/>
                              <w:bottom w:val="single" w:sz="6" w:space="0" w:color="BFBFBF" w:themeColor="background1" w:themeShade="BF"/>
                            </w:tcBorders>
                          </w:tcPr>
                          <w:p w14:paraId="04A2893A" w14:textId="77777777" w:rsidR="009954B8" w:rsidRDefault="009954B8" w:rsidP="00F76021">
                            <w:pPr>
                              <w:spacing w:before="40" w:after="40" w:line="240" w:lineRule="auto"/>
                              <w:rPr>
                                <w:sz w:val="20"/>
                                <w:szCs w:val="20"/>
                              </w:rPr>
                            </w:pPr>
                            <w:r>
                              <w:rPr>
                                <w:sz w:val="20"/>
                                <w:szCs w:val="20"/>
                              </w:rPr>
                              <w:t>ABARES 2024; data for 2023</w:t>
                            </w:r>
                          </w:p>
                        </w:tc>
                      </w:tr>
                      <w:tr w:rsidR="009954B8" w:rsidRPr="007A14DA" w14:paraId="62A36CFE" w14:textId="77777777" w:rsidTr="00EA58F4">
                        <w:trPr>
                          <w:trHeight w:val="624"/>
                        </w:trPr>
                        <w:tc>
                          <w:tcPr>
                            <w:tcW w:w="6096" w:type="dxa"/>
                            <w:gridSpan w:val="3"/>
                            <w:tcBorders>
                              <w:top w:val="single" w:sz="6" w:space="0" w:color="BFBFBF" w:themeColor="background1" w:themeShade="BF"/>
                              <w:bottom w:val="single" w:sz="6" w:space="0" w:color="BFBFBF" w:themeColor="background1" w:themeShade="BF"/>
                            </w:tcBorders>
                            <w:vAlign w:val="bottom"/>
                          </w:tcPr>
                          <w:p w14:paraId="76D284ED" w14:textId="77777777" w:rsidR="009954B8" w:rsidRPr="007A14DA" w:rsidRDefault="009954B8" w:rsidP="00780468">
                            <w:pPr>
                              <w:spacing w:before="80" w:after="40" w:line="240" w:lineRule="auto"/>
                              <w:jc w:val="left"/>
                              <w:rPr>
                                <w:sz w:val="20"/>
                                <w:szCs w:val="20"/>
                              </w:rPr>
                            </w:pPr>
                            <w:r>
                              <w:rPr>
                                <w:b/>
                                <w:sz w:val="20"/>
                                <w:szCs w:val="20"/>
                              </w:rPr>
                              <w:t xml:space="preserve">2. </w:t>
                            </w:r>
                            <w:r w:rsidRPr="00B24669">
                              <w:rPr>
                                <w:b/>
                                <w:sz w:val="20"/>
                                <w:szCs w:val="20"/>
                              </w:rPr>
                              <w:t>SRM removal from human and animal export chains</w:t>
                            </w:r>
                          </w:p>
                        </w:tc>
                        <w:tc>
                          <w:tcPr>
                            <w:tcW w:w="2381" w:type="dxa"/>
                            <w:tcBorders>
                              <w:top w:val="single" w:sz="6" w:space="0" w:color="BFBFBF" w:themeColor="background1" w:themeShade="BF"/>
                              <w:bottom w:val="single" w:sz="6" w:space="0" w:color="BFBFBF" w:themeColor="background1" w:themeShade="BF"/>
                            </w:tcBorders>
                            <w:vAlign w:val="bottom"/>
                          </w:tcPr>
                          <w:p w14:paraId="05427C33" w14:textId="77777777" w:rsidR="009954B8" w:rsidRPr="007A14DA" w:rsidRDefault="009954B8" w:rsidP="00780468">
                            <w:pPr>
                              <w:spacing w:before="80" w:after="40" w:line="240" w:lineRule="auto"/>
                              <w:jc w:val="left"/>
                              <w:rPr>
                                <w:sz w:val="20"/>
                                <w:szCs w:val="20"/>
                              </w:rPr>
                            </w:pPr>
                          </w:p>
                        </w:tc>
                      </w:tr>
                      <w:tr w:rsidR="009954B8" w:rsidRPr="007A14DA" w14:paraId="55ADA2C7" w14:textId="77777777" w:rsidTr="00214B22">
                        <w:tc>
                          <w:tcPr>
                            <w:tcW w:w="3686" w:type="dxa"/>
                            <w:tcBorders>
                              <w:top w:val="single" w:sz="6" w:space="0" w:color="BFBFBF" w:themeColor="background1" w:themeShade="BF"/>
                              <w:bottom w:val="single" w:sz="6" w:space="0" w:color="BFBFBF" w:themeColor="background1" w:themeShade="BF"/>
                            </w:tcBorders>
                          </w:tcPr>
                          <w:p w14:paraId="32993C84" w14:textId="77777777" w:rsidR="009954B8" w:rsidRPr="007A14DA" w:rsidRDefault="009954B8" w:rsidP="000A32DD">
                            <w:pPr>
                              <w:spacing w:before="40" w:after="40" w:line="240" w:lineRule="auto"/>
                              <w:ind w:left="113"/>
                              <w:jc w:val="left"/>
                              <w:rPr>
                                <w:sz w:val="20"/>
                                <w:szCs w:val="20"/>
                              </w:rPr>
                            </w:pPr>
                            <w:r>
                              <w:rPr>
                                <w:sz w:val="20"/>
                                <w:szCs w:val="20"/>
                              </w:rPr>
                              <w:t>Number of abattoirs affected (no.)</w:t>
                            </w:r>
                          </w:p>
                        </w:tc>
                        <w:tc>
                          <w:tcPr>
                            <w:tcW w:w="1162" w:type="dxa"/>
                            <w:tcBorders>
                              <w:top w:val="single" w:sz="6" w:space="0" w:color="BFBFBF" w:themeColor="background1" w:themeShade="BF"/>
                              <w:bottom w:val="single" w:sz="6" w:space="0" w:color="BFBFBF" w:themeColor="background1" w:themeShade="BF"/>
                            </w:tcBorders>
                          </w:tcPr>
                          <w:p w14:paraId="3BB3718A" w14:textId="77777777" w:rsidR="009954B8" w:rsidRPr="00B44FF1" w:rsidRDefault="009954B8" w:rsidP="000A32DD">
                            <w:pPr>
                              <w:spacing w:before="40" w:after="40" w:line="240" w:lineRule="auto"/>
                              <w:ind w:left="170"/>
                              <w:rPr>
                                <w:i/>
                                <w:sz w:val="20"/>
                                <w:szCs w:val="20"/>
                              </w:rPr>
                            </w:pPr>
                            <w:r>
                              <w:rPr>
                                <w:i/>
                                <w:sz w:val="20"/>
                                <w:szCs w:val="20"/>
                              </w:rPr>
                              <w:t>N</w:t>
                            </w:r>
                            <w:r w:rsidRPr="005A407C">
                              <w:rPr>
                                <w:i/>
                                <w:sz w:val="20"/>
                                <w:szCs w:val="20"/>
                                <w:vertAlign w:val="subscript"/>
                              </w:rPr>
                              <w:t>R</w:t>
                            </w:r>
                          </w:p>
                        </w:tc>
                        <w:tc>
                          <w:tcPr>
                            <w:tcW w:w="1248" w:type="dxa"/>
                            <w:tcBorders>
                              <w:top w:val="single" w:sz="6" w:space="0" w:color="BFBFBF" w:themeColor="background1" w:themeShade="BF"/>
                              <w:bottom w:val="single" w:sz="6" w:space="0" w:color="BFBFBF" w:themeColor="background1" w:themeShade="BF"/>
                            </w:tcBorders>
                            <w:shd w:val="clear" w:color="auto" w:fill="auto"/>
                          </w:tcPr>
                          <w:p w14:paraId="6E178FF3" w14:textId="77777777" w:rsidR="009954B8" w:rsidRPr="00214B22" w:rsidRDefault="009954B8" w:rsidP="000A32DD">
                            <w:pPr>
                              <w:spacing w:before="40" w:after="40" w:line="240" w:lineRule="auto"/>
                              <w:rPr>
                                <w:sz w:val="20"/>
                                <w:szCs w:val="20"/>
                                <w:highlight w:val="yellow"/>
                              </w:rPr>
                            </w:pPr>
                            <w:r w:rsidRPr="005A407C">
                              <w:rPr>
                                <w:sz w:val="20"/>
                                <w:szCs w:val="20"/>
                              </w:rPr>
                              <w:t>70</w:t>
                            </w:r>
                          </w:p>
                        </w:tc>
                        <w:tc>
                          <w:tcPr>
                            <w:tcW w:w="2381" w:type="dxa"/>
                            <w:tcBorders>
                              <w:top w:val="single" w:sz="6" w:space="0" w:color="BFBFBF" w:themeColor="background1" w:themeShade="BF"/>
                              <w:bottom w:val="single" w:sz="6" w:space="0" w:color="BFBFBF" w:themeColor="background1" w:themeShade="BF"/>
                            </w:tcBorders>
                          </w:tcPr>
                          <w:p w14:paraId="18FA4ECC" w14:textId="77777777" w:rsidR="009954B8" w:rsidRPr="007A14DA" w:rsidRDefault="009954B8" w:rsidP="000A32DD">
                            <w:pPr>
                              <w:spacing w:before="40" w:after="40" w:line="240" w:lineRule="auto"/>
                              <w:rPr>
                                <w:sz w:val="20"/>
                                <w:szCs w:val="20"/>
                              </w:rPr>
                            </w:pPr>
                            <w:r>
                              <w:rPr>
                                <w:sz w:val="20"/>
                                <w:szCs w:val="20"/>
                              </w:rPr>
                              <w:t>ARA</w:t>
                            </w:r>
                          </w:p>
                        </w:tc>
                      </w:tr>
                      <w:tr w:rsidR="009954B8" w:rsidRPr="007A14DA" w14:paraId="2B5D7A0A" w14:textId="77777777" w:rsidTr="00214B22">
                        <w:tc>
                          <w:tcPr>
                            <w:tcW w:w="3686" w:type="dxa"/>
                            <w:tcBorders>
                              <w:top w:val="single" w:sz="6" w:space="0" w:color="BFBFBF" w:themeColor="background1" w:themeShade="BF"/>
                              <w:bottom w:val="single" w:sz="6" w:space="0" w:color="BFBFBF" w:themeColor="background1" w:themeShade="BF"/>
                            </w:tcBorders>
                          </w:tcPr>
                          <w:p w14:paraId="014A8EC1" w14:textId="77777777" w:rsidR="009954B8" w:rsidRDefault="009954B8" w:rsidP="000A32DD">
                            <w:pPr>
                              <w:spacing w:before="40" w:after="40" w:line="240" w:lineRule="auto"/>
                              <w:ind w:left="113"/>
                              <w:jc w:val="left"/>
                              <w:rPr>
                                <w:sz w:val="20"/>
                                <w:szCs w:val="20"/>
                              </w:rPr>
                            </w:pPr>
                            <w:r>
                              <w:rPr>
                                <w:sz w:val="20"/>
                                <w:szCs w:val="20"/>
                              </w:rPr>
                              <w:t>Additional FTE involved in safe handling of SRM</w:t>
                            </w:r>
                          </w:p>
                        </w:tc>
                        <w:tc>
                          <w:tcPr>
                            <w:tcW w:w="1162" w:type="dxa"/>
                            <w:tcBorders>
                              <w:top w:val="single" w:sz="6" w:space="0" w:color="BFBFBF" w:themeColor="background1" w:themeShade="BF"/>
                              <w:bottom w:val="single" w:sz="6" w:space="0" w:color="BFBFBF" w:themeColor="background1" w:themeShade="BF"/>
                            </w:tcBorders>
                          </w:tcPr>
                          <w:p w14:paraId="24532927" w14:textId="77777777" w:rsidR="009954B8" w:rsidRDefault="009954B8" w:rsidP="000A32DD">
                            <w:pPr>
                              <w:spacing w:before="40" w:after="40" w:line="240" w:lineRule="auto"/>
                              <w:ind w:left="170"/>
                              <w:rPr>
                                <w:i/>
                                <w:sz w:val="20"/>
                                <w:szCs w:val="20"/>
                              </w:rPr>
                            </w:pPr>
                            <w:r>
                              <w:rPr>
                                <w:i/>
                                <w:sz w:val="20"/>
                                <w:szCs w:val="20"/>
                              </w:rPr>
                              <w:t>FTE</w:t>
                            </w:r>
                            <w:r w:rsidRPr="00BE08E5">
                              <w:rPr>
                                <w:i/>
                                <w:sz w:val="20"/>
                                <w:szCs w:val="20"/>
                                <w:vertAlign w:val="subscript"/>
                              </w:rPr>
                              <w:t>SRM</w:t>
                            </w:r>
                          </w:p>
                        </w:tc>
                        <w:tc>
                          <w:tcPr>
                            <w:tcW w:w="1248" w:type="dxa"/>
                            <w:tcBorders>
                              <w:top w:val="single" w:sz="6" w:space="0" w:color="BFBFBF" w:themeColor="background1" w:themeShade="BF"/>
                              <w:bottom w:val="single" w:sz="6" w:space="0" w:color="BFBFBF" w:themeColor="background1" w:themeShade="BF"/>
                            </w:tcBorders>
                            <w:shd w:val="clear" w:color="auto" w:fill="auto"/>
                          </w:tcPr>
                          <w:p w14:paraId="255E8900" w14:textId="77777777" w:rsidR="009954B8" w:rsidRPr="00214B22" w:rsidRDefault="009954B8" w:rsidP="000A32DD">
                            <w:pPr>
                              <w:spacing w:before="40" w:after="40" w:line="240" w:lineRule="auto"/>
                              <w:rPr>
                                <w:sz w:val="20"/>
                                <w:szCs w:val="20"/>
                                <w:highlight w:val="yellow"/>
                              </w:rPr>
                            </w:pPr>
                            <w:r w:rsidRPr="00CB792D">
                              <w:rPr>
                                <w:sz w:val="20"/>
                                <w:szCs w:val="20"/>
                              </w:rPr>
                              <w:t>1</w:t>
                            </w:r>
                          </w:p>
                        </w:tc>
                        <w:tc>
                          <w:tcPr>
                            <w:tcW w:w="2381" w:type="dxa"/>
                            <w:tcBorders>
                              <w:top w:val="single" w:sz="6" w:space="0" w:color="BFBFBF" w:themeColor="background1" w:themeShade="BF"/>
                              <w:bottom w:val="single" w:sz="6" w:space="0" w:color="BFBFBF" w:themeColor="background1" w:themeShade="BF"/>
                            </w:tcBorders>
                          </w:tcPr>
                          <w:p w14:paraId="36BA7D16" w14:textId="77777777" w:rsidR="009954B8" w:rsidRDefault="009954B8" w:rsidP="000A32DD">
                            <w:pPr>
                              <w:spacing w:before="40" w:after="40" w:line="240" w:lineRule="auto"/>
                              <w:rPr>
                                <w:sz w:val="20"/>
                                <w:szCs w:val="20"/>
                              </w:rPr>
                            </w:pPr>
                            <w:r>
                              <w:rPr>
                                <w:sz w:val="20"/>
                                <w:szCs w:val="20"/>
                              </w:rPr>
                              <w:t>estimate</w:t>
                            </w:r>
                          </w:p>
                        </w:tc>
                      </w:tr>
                      <w:tr w:rsidR="009954B8" w:rsidRPr="007A14DA" w14:paraId="6379AA0C" w14:textId="77777777" w:rsidTr="00214B22">
                        <w:tc>
                          <w:tcPr>
                            <w:tcW w:w="3686" w:type="dxa"/>
                            <w:tcBorders>
                              <w:top w:val="single" w:sz="6" w:space="0" w:color="BFBFBF" w:themeColor="background1" w:themeShade="BF"/>
                              <w:bottom w:val="single" w:sz="6" w:space="0" w:color="BFBFBF" w:themeColor="background1" w:themeShade="BF"/>
                            </w:tcBorders>
                          </w:tcPr>
                          <w:p w14:paraId="3C1FA6E7" w14:textId="77777777" w:rsidR="009954B8" w:rsidRPr="007A14DA" w:rsidRDefault="009954B8" w:rsidP="000A32DD">
                            <w:pPr>
                              <w:spacing w:before="40" w:after="40" w:line="240" w:lineRule="auto"/>
                              <w:ind w:left="113"/>
                              <w:jc w:val="left"/>
                              <w:rPr>
                                <w:sz w:val="20"/>
                                <w:szCs w:val="20"/>
                              </w:rPr>
                            </w:pPr>
                            <w:r>
                              <w:rPr>
                                <w:sz w:val="20"/>
                                <w:szCs w:val="20"/>
                              </w:rPr>
                              <w:t>Annual salary of additional FTE (AUD)</w:t>
                            </w:r>
                          </w:p>
                        </w:tc>
                        <w:tc>
                          <w:tcPr>
                            <w:tcW w:w="1162" w:type="dxa"/>
                            <w:tcBorders>
                              <w:top w:val="single" w:sz="6" w:space="0" w:color="BFBFBF" w:themeColor="background1" w:themeShade="BF"/>
                              <w:bottom w:val="single" w:sz="6" w:space="0" w:color="BFBFBF" w:themeColor="background1" w:themeShade="BF"/>
                            </w:tcBorders>
                          </w:tcPr>
                          <w:p w14:paraId="2552BA85" w14:textId="77777777" w:rsidR="009954B8" w:rsidRPr="00B44FF1" w:rsidRDefault="009954B8" w:rsidP="000A32DD">
                            <w:pPr>
                              <w:tabs>
                                <w:tab w:val="left" w:pos="616"/>
                              </w:tabs>
                              <w:spacing w:before="40" w:after="40" w:line="240" w:lineRule="auto"/>
                              <w:ind w:left="170"/>
                              <w:rPr>
                                <w:i/>
                                <w:sz w:val="20"/>
                                <w:szCs w:val="20"/>
                              </w:rPr>
                            </w:pPr>
                            <w:r>
                              <w:rPr>
                                <w:i/>
                                <w:sz w:val="20"/>
                                <w:szCs w:val="20"/>
                              </w:rPr>
                              <w:t>CFTE</w:t>
                            </w:r>
                            <w:r w:rsidRPr="00BE08E5">
                              <w:rPr>
                                <w:i/>
                                <w:sz w:val="20"/>
                                <w:szCs w:val="20"/>
                                <w:vertAlign w:val="subscript"/>
                              </w:rPr>
                              <w:t>SRM</w:t>
                            </w:r>
                          </w:p>
                        </w:tc>
                        <w:tc>
                          <w:tcPr>
                            <w:tcW w:w="1248" w:type="dxa"/>
                            <w:tcBorders>
                              <w:top w:val="single" w:sz="6" w:space="0" w:color="BFBFBF" w:themeColor="background1" w:themeShade="BF"/>
                              <w:bottom w:val="single" w:sz="6" w:space="0" w:color="BFBFBF" w:themeColor="background1" w:themeShade="BF"/>
                            </w:tcBorders>
                            <w:shd w:val="clear" w:color="auto" w:fill="auto"/>
                          </w:tcPr>
                          <w:p w14:paraId="71CA488B" w14:textId="77777777" w:rsidR="009954B8" w:rsidRPr="00214B22" w:rsidRDefault="009954B8" w:rsidP="000A32DD">
                            <w:pPr>
                              <w:spacing w:before="40" w:after="40" w:line="240" w:lineRule="auto"/>
                              <w:rPr>
                                <w:sz w:val="20"/>
                                <w:szCs w:val="20"/>
                                <w:highlight w:val="yellow"/>
                              </w:rPr>
                            </w:pPr>
                            <w:r w:rsidRPr="00CB792D">
                              <w:rPr>
                                <w:sz w:val="20"/>
                                <w:szCs w:val="20"/>
                              </w:rPr>
                              <w:t>70,000</w:t>
                            </w:r>
                          </w:p>
                        </w:tc>
                        <w:tc>
                          <w:tcPr>
                            <w:tcW w:w="2381" w:type="dxa"/>
                            <w:tcBorders>
                              <w:top w:val="single" w:sz="6" w:space="0" w:color="BFBFBF" w:themeColor="background1" w:themeShade="BF"/>
                              <w:bottom w:val="single" w:sz="6" w:space="0" w:color="BFBFBF" w:themeColor="background1" w:themeShade="BF"/>
                            </w:tcBorders>
                          </w:tcPr>
                          <w:p w14:paraId="784E0097" w14:textId="77777777" w:rsidR="009954B8" w:rsidRPr="007A14DA" w:rsidRDefault="009954B8" w:rsidP="000A32DD">
                            <w:pPr>
                              <w:spacing w:before="40" w:after="40" w:line="240" w:lineRule="auto"/>
                              <w:rPr>
                                <w:sz w:val="20"/>
                                <w:szCs w:val="20"/>
                              </w:rPr>
                            </w:pPr>
                            <w:r>
                              <w:rPr>
                                <w:sz w:val="20"/>
                                <w:szCs w:val="20"/>
                              </w:rPr>
                              <w:t>estimate</w:t>
                            </w:r>
                          </w:p>
                        </w:tc>
                      </w:tr>
                      <w:tr w:rsidR="009954B8" w:rsidRPr="007A14DA" w14:paraId="04FF480A" w14:textId="77777777" w:rsidTr="00EA58F4">
                        <w:tc>
                          <w:tcPr>
                            <w:tcW w:w="3686" w:type="dxa"/>
                            <w:tcBorders>
                              <w:top w:val="single" w:sz="6" w:space="0" w:color="BFBFBF" w:themeColor="background1" w:themeShade="BF"/>
                              <w:bottom w:val="single" w:sz="6" w:space="0" w:color="BFBFBF" w:themeColor="background1" w:themeShade="BF"/>
                            </w:tcBorders>
                          </w:tcPr>
                          <w:p w14:paraId="4D7D7EAD" w14:textId="77777777" w:rsidR="009954B8" w:rsidRDefault="009954B8" w:rsidP="000A32DD">
                            <w:pPr>
                              <w:spacing w:before="40" w:after="40" w:line="240" w:lineRule="auto"/>
                              <w:ind w:left="113"/>
                              <w:jc w:val="left"/>
                              <w:rPr>
                                <w:sz w:val="20"/>
                                <w:szCs w:val="20"/>
                              </w:rPr>
                            </w:pPr>
                            <w:r>
                              <w:rPr>
                                <w:sz w:val="20"/>
                                <w:szCs w:val="20"/>
                              </w:rPr>
                              <w:t>Number of animals processed (head)</w:t>
                            </w:r>
                          </w:p>
                        </w:tc>
                        <w:tc>
                          <w:tcPr>
                            <w:tcW w:w="1162" w:type="dxa"/>
                            <w:tcBorders>
                              <w:top w:val="single" w:sz="6" w:space="0" w:color="BFBFBF" w:themeColor="background1" w:themeShade="BF"/>
                              <w:bottom w:val="single" w:sz="6" w:space="0" w:color="BFBFBF" w:themeColor="background1" w:themeShade="BF"/>
                            </w:tcBorders>
                          </w:tcPr>
                          <w:p w14:paraId="62719766" w14:textId="77777777" w:rsidR="009954B8" w:rsidRDefault="009954B8" w:rsidP="000A32DD">
                            <w:pPr>
                              <w:tabs>
                                <w:tab w:val="left" w:pos="616"/>
                              </w:tabs>
                              <w:spacing w:before="40" w:after="40" w:line="240" w:lineRule="auto"/>
                              <w:ind w:left="170"/>
                              <w:rPr>
                                <w:i/>
                                <w:sz w:val="20"/>
                                <w:szCs w:val="20"/>
                              </w:rPr>
                            </w:pPr>
                            <w:r w:rsidRPr="00B44FF1">
                              <w:rPr>
                                <w:i/>
                                <w:sz w:val="20"/>
                                <w:szCs w:val="20"/>
                              </w:rPr>
                              <w:t>N</w:t>
                            </w:r>
                            <w:r w:rsidRPr="00FB304E">
                              <w:rPr>
                                <w:i/>
                                <w:sz w:val="20"/>
                                <w:szCs w:val="20"/>
                                <w:vertAlign w:val="subscript"/>
                              </w:rPr>
                              <w:t>A</w:t>
                            </w:r>
                          </w:p>
                        </w:tc>
                        <w:tc>
                          <w:tcPr>
                            <w:tcW w:w="1248" w:type="dxa"/>
                            <w:tcBorders>
                              <w:top w:val="single" w:sz="6" w:space="0" w:color="BFBFBF" w:themeColor="background1" w:themeShade="BF"/>
                              <w:bottom w:val="single" w:sz="6" w:space="0" w:color="BFBFBF" w:themeColor="background1" w:themeShade="BF"/>
                            </w:tcBorders>
                          </w:tcPr>
                          <w:p w14:paraId="3ACA1B1E" w14:textId="77777777" w:rsidR="009954B8" w:rsidRPr="00700712" w:rsidRDefault="009954B8" w:rsidP="000A32DD">
                            <w:pPr>
                              <w:spacing w:before="40" w:after="40" w:line="240" w:lineRule="auto"/>
                              <w:rPr>
                                <w:sz w:val="20"/>
                                <w:szCs w:val="20"/>
                              </w:rPr>
                            </w:pPr>
                            <w:r w:rsidRPr="00700712">
                              <w:rPr>
                                <w:sz w:val="20"/>
                                <w:szCs w:val="20"/>
                              </w:rPr>
                              <w:t xml:space="preserve">7,600,000 </w:t>
                            </w:r>
                          </w:p>
                        </w:tc>
                        <w:tc>
                          <w:tcPr>
                            <w:tcW w:w="2381" w:type="dxa"/>
                            <w:tcBorders>
                              <w:top w:val="single" w:sz="6" w:space="0" w:color="BFBFBF" w:themeColor="background1" w:themeShade="BF"/>
                              <w:bottom w:val="single" w:sz="6" w:space="0" w:color="BFBFBF" w:themeColor="background1" w:themeShade="BF"/>
                            </w:tcBorders>
                          </w:tcPr>
                          <w:p w14:paraId="767F196C" w14:textId="77777777" w:rsidR="009954B8" w:rsidRDefault="009954B8" w:rsidP="000A32DD">
                            <w:pPr>
                              <w:spacing w:before="40" w:after="40" w:line="240" w:lineRule="auto"/>
                              <w:rPr>
                                <w:sz w:val="20"/>
                                <w:szCs w:val="20"/>
                              </w:rPr>
                            </w:pPr>
                            <w:r>
                              <w:rPr>
                                <w:sz w:val="20"/>
                                <w:szCs w:val="20"/>
                              </w:rPr>
                              <w:t>MLA, ABS</w:t>
                            </w:r>
                          </w:p>
                        </w:tc>
                      </w:tr>
                      <w:tr w:rsidR="009954B8" w:rsidRPr="007A14DA" w14:paraId="01DDF393" w14:textId="77777777" w:rsidTr="00EA58F4">
                        <w:tc>
                          <w:tcPr>
                            <w:tcW w:w="3686" w:type="dxa"/>
                            <w:tcBorders>
                              <w:top w:val="single" w:sz="6" w:space="0" w:color="BFBFBF" w:themeColor="background1" w:themeShade="BF"/>
                              <w:bottom w:val="single" w:sz="6" w:space="0" w:color="BFBFBF" w:themeColor="background1" w:themeShade="BF"/>
                            </w:tcBorders>
                          </w:tcPr>
                          <w:p w14:paraId="507B483A" w14:textId="77777777" w:rsidR="009954B8" w:rsidRPr="007A14DA" w:rsidRDefault="009954B8" w:rsidP="000A32DD">
                            <w:pPr>
                              <w:spacing w:before="40" w:after="40" w:line="240" w:lineRule="auto"/>
                              <w:ind w:left="113"/>
                              <w:jc w:val="left"/>
                              <w:rPr>
                                <w:sz w:val="20"/>
                                <w:szCs w:val="20"/>
                              </w:rPr>
                            </w:pPr>
                            <w:r>
                              <w:rPr>
                                <w:sz w:val="20"/>
                                <w:szCs w:val="20"/>
                              </w:rPr>
                              <w:t>SRM per animal lost to rendering (kg dry weight)</w:t>
                            </w:r>
                          </w:p>
                        </w:tc>
                        <w:tc>
                          <w:tcPr>
                            <w:tcW w:w="1162" w:type="dxa"/>
                            <w:tcBorders>
                              <w:top w:val="single" w:sz="6" w:space="0" w:color="BFBFBF" w:themeColor="background1" w:themeShade="BF"/>
                              <w:bottom w:val="single" w:sz="6" w:space="0" w:color="BFBFBF" w:themeColor="background1" w:themeShade="BF"/>
                            </w:tcBorders>
                          </w:tcPr>
                          <w:p w14:paraId="248EB370" w14:textId="77777777" w:rsidR="009954B8" w:rsidRPr="008C3C46" w:rsidRDefault="009954B8" w:rsidP="000A32DD">
                            <w:pPr>
                              <w:spacing w:before="40" w:after="40" w:line="240" w:lineRule="auto"/>
                              <w:ind w:left="170"/>
                              <w:rPr>
                                <w:i/>
                                <w:sz w:val="20"/>
                                <w:szCs w:val="20"/>
                              </w:rPr>
                            </w:pPr>
                            <w:r>
                              <w:rPr>
                                <w:i/>
                                <w:sz w:val="20"/>
                                <w:szCs w:val="20"/>
                              </w:rPr>
                              <w:t>SRM</w:t>
                            </w:r>
                            <w:r w:rsidRPr="001C1346">
                              <w:rPr>
                                <w:i/>
                                <w:sz w:val="20"/>
                                <w:szCs w:val="20"/>
                                <w:vertAlign w:val="subscript"/>
                              </w:rPr>
                              <w:t>A</w:t>
                            </w:r>
                          </w:p>
                        </w:tc>
                        <w:tc>
                          <w:tcPr>
                            <w:tcW w:w="1248" w:type="dxa"/>
                            <w:tcBorders>
                              <w:top w:val="single" w:sz="6" w:space="0" w:color="BFBFBF" w:themeColor="background1" w:themeShade="BF"/>
                              <w:bottom w:val="single" w:sz="6" w:space="0" w:color="BFBFBF" w:themeColor="background1" w:themeShade="BF"/>
                            </w:tcBorders>
                          </w:tcPr>
                          <w:p w14:paraId="1186856A" w14:textId="77777777" w:rsidR="009954B8" w:rsidRPr="00700712" w:rsidRDefault="009954B8" w:rsidP="000A32DD">
                            <w:pPr>
                              <w:spacing w:before="40" w:after="40" w:line="240" w:lineRule="auto"/>
                              <w:rPr>
                                <w:sz w:val="20"/>
                                <w:szCs w:val="20"/>
                              </w:rPr>
                            </w:pPr>
                            <w:r w:rsidRPr="00700712">
                              <w:rPr>
                                <w:sz w:val="20"/>
                                <w:szCs w:val="20"/>
                              </w:rPr>
                              <w:t>2.8</w:t>
                            </w:r>
                          </w:p>
                        </w:tc>
                        <w:tc>
                          <w:tcPr>
                            <w:tcW w:w="2381" w:type="dxa"/>
                            <w:tcBorders>
                              <w:top w:val="single" w:sz="6" w:space="0" w:color="BFBFBF" w:themeColor="background1" w:themeShade="BF"/>
                              <w:bottom w:val="single" w:sz="6" w:space="0" w:color="BFBFBF" w:themeColor="background1" w:themeShade="BF"/>
                            </w:tcBorders>
                          </w:tcPr>
                          <w:p w14:paraId="70B8F00C" w14:textId="77777777" w:rsidR="009954B8" w:rsidRPr="007A14DA" w:rsidRDefault="009954B8" w:rsidP="000A32DD">
                            <w:pPr>
                              <w:spacing w:before="40" w:after="40" w:line="240" w:lineRule="auto"/>
                              <w:rPr>
                                <w:sz w:val="20"/>
                                <w:szCs w:val="20"/>
                              </w:rPr>
                            </w:pPr>
                            <w:r>
                              <w:rPr>
                                <w:sz w:val="20"/>
                                <w:szCs w:val="20"/>
                              </w:rPr>
                              <w:t xml:space="preserve">ARA </w:t>
                            </w:r>
                          </w:p>
                        </w:tc>
                      </w:tr>
                      <w:tr w:rsidR="009954B8" w:rsidRPr="007A14DA" w14:paraId="2C5AFD59" w14:textId="77777777" w:rsidTr="00EA58F4">
                        <w:tc>
                          <w:tcPr>
                            <w:tcW w:w="3686" w:type="dxa"/>
                            <w:tcBorders>
                              <w:top w:val="single" w:sz="6" w:space="0" w:color="BFBFBF" w:themeColor="background1" w:themeShade="BF"/>
                              <w:bottom w:val="single" w:sz="6" w:space="0" w:color="BFBFBF" w:themeColor="background1" w:themeShade="BF"/>
                            </w:tcBorders>
                          </w:tcPr>
                          <w:p w14:paraId="3AD60194" w14:textId="77777777" w:rsidR="009954B8" w:rsidRPr="00700712" w:rsidRDefault="009954B8" w:rsidP="000A32DD">
                            <w:pPr>
                              <w:spacing w:before="40" w:after="40" w:line="240" w:lineRule="auto"/>
                              <w:ind w:left="113"/>
                              <w:jc w:val="left"/>
                              <w:rPr>
                                <w:sz w:val="20"/>
                                <w:szCs w:val="20"/>
                              </w:rPr>
                            </w:pPr>
                            <w:r w:rsidRPr="00125FEF">
                              <w:rPr>
                                <w:sz w:val="20"/>
                                <w:szCs w:val="20"/>
                              </w:rPr>
                              <w:t>Price of rendered material (</w:t>
                            </w:r>
                            <w:r>
                              <w:rPr>
                                <w:sz w:val="20"/>
                                <w:szCs w:val="20"/>
                              </w:rPr>
                              <w:t>AUD</w:t>
                            </w:r>
                            <w:r w:rsidRPr="00125FEF">
                              <w:rPr>
                                <w:sz w:val="20"/>
                                <w:szCs w:val="20"/>
                              </w:rPr>
                              <w:t>/kg dry weight)</w:t>
                            </w:r>
                          </w:p>
                        </w:tc>
                        <w:tc>
                          <w:tcPr>
                            <w:tcW w:w="1162" w:type="dxa"/>
                            <w:tcBorders>
                              <w:top w:val="single" w:sz="6" w:space="0" w:color="BFBFBF" w:themeColor="background1" w:themeShade="BF"/>
                              <w:bottom w:val="single" w:sz="6" w:space="0" w:color="BFBFBF" w:themeColor="background1" w:themeShade="BF"/>
                            </w:tcBorders>
                          </w:tcPr>
                          <w:p w14:paraId="3F0766EE" w14:textId="77777777" w:rsidR="009954B8" w:rsidRPr="00700712" w:rsidRDefault="009954B8" w:rsidP="000A32DD">
                            <w:pPr>
                              <w:spacing w:before="40" w:after="40" w:line="240" w:lineRule="auto"/>
                              <w:ind w:left="170"/>
                              <w:rPr>
                                <w:i/>
                                <w:sz w:val="20"/>
                                <w:szCs w:val="20"/>
                              </w:rPr>
                            </w:pPr>
                            <w:r w:rsidRPr="00700712">
                              <w:rPr>
                                <w:i/>
                                <w:sz w:val="20"/>
                                <w:szCs w:val="20"/>
                              </w:rPr>
                              <w:t>P</w:t>
                            </w:r>
                            <w:r w:rsidRPr="00700712">
                              <w:rPr>
                                <w:i/>
                                <w:sz w:val="20"/>
                                <w:szCs w:val="20"/>
                                <w:vertAlign w:val="subscript"/>
                              </w:rPr>
                              <w:t>SRM</w:t>
                            </w:r>
                          </w:p>
                        </w:tc>
                        <w:tc>
                          <w:tcPr>
                            <w:tcW w:w="1248" w:type="dxa"/>
                            <w:tcBorders>
                              <w:top w:val="single" w:sz="6" w:space="0" w:color="BFBFBF" w:themeColor="background1" w:themeShade="BF"/>
                              <w:bottom w:val="single" w:sz="6" w:space="0" w:color="BFBFBF" w:themeColor="background1" w:themeShade="BF"/>
                            </w:tcBorders>
                          </w:tcPr>
                          <w:p w14:paraId="1A0492FA" w14:textId="77777777" w:rsidR="009954B8" w:rsidRPr="00984DDA" w:rsidRDefault="009954B8" w:rsidP="000A32DD">
                            <w:pPr>
                              <w:spacing w:before="40" w:after="40" w:line="240" w:lineRule="auto"/>
                              <w:rPr>
                                <w:sz w:val="20"/>
                                <w:szCs w:val="20"/>
                              </w:rPr>
                            </w:pPr>
                            <w:r w:rsidRPr="00984DDA">
                              <w:rPr>
                                <w:sz w:val="20"/>
                                <w:szCs w:val="20"/>
                              </w:rPr>
                              <w:t>0.54</w:t>
                            </w:r>
                          </w:p>
                        </w:tc>
                        <w:tc>
                          <w:tcPr>
                            <w:tcW w:w="2381" w:type="dxa"/>
                            <w:tcBorders>
                              <w:top w:val="single" w:sz="6" w:space="0" w:color="BFBFBF" w:themeColor="background1" w:themeShade="BF"/>
                              <w:bottom w:val="single" w:sz="6" w:space="0" w:color="BFBFBF" w:themeColor="background1" w:themeShade="BF"/>
                            </w:tcBorders>
                          </w:tcPr>
                          <w:p w14:paraId="3C87447B" w14:textId="77777777" w:rsidR="009954B8" w:rsidRPr="00984DDA" w:rsidRDefault="009954B8" w:rsidP="000A32DD">
                            <w:pPr>
                              <w:spacing w:before="40" w:after="40" w:line="240" w:lineRule="auto"/>
                              <w:rPr>
                                <w:sz w:val="20"/>
                                <w:szCs w:val="20"/>
                              </w:rPr>
                            </w:pPr>
                            <w:r w:rsidRPr="00984DDA">
                              <w:rPr>
                                <w:sz w:val="20"/>
                                <w:szCs w:val="20"/>
                              </w:rPr>
                              <w:t>ARA</w:t>
                            </w:r>
                          </w:p>
                        </w:tc>
                      </w:tr>
                      <w:tr w:rsidR="009954B8" w:rsidRPr="007A14DA" w14:paraId="1EDFA328" w14:textId="77777777" w:rsidTr="00EA58F4">
                        <w:trPr>
                          <w:trHeight w:val="624"/>
                        </w:trPr>
                        <w:tc>
                          <w:tcPr>
                            <w:tcW w:w="4848" w:type="dxa"/>
                            <w:gridSpan w:val="2"/>
                            <w:tcBorders>
                              <w:top w:val="single" w:sz="6" w:space="0" w:color="BFBFBF" w:themeColor="background1" w:themeShade="BF"/>
                              <w:bottom w:val="single" w:sz="6" w:space="0" w:color="BFBFBF" w:themeColor="background1" w:themeShade="BF"/>
                            </w:tcBorders>
                            <w:vAlign w:val="bottom"/>
                          </w:tcPr>
                          <w:p w14:paraId="39B610EE" w14:textId="77777777" w:rsidR="009954B8" w:rsidRPr="001F2BD5" w:rsidRDefault="009954B8" w:rsidP="005A407C">
                            <w:pPr>
                              <w:spacing w:before="40" w:after="40" w:line="240" w:lineRule="auto"/>
                              <w:jc w:val="left"/>
                              <w:rPr>
                                <w:i/>
                                <w:sz w:val="20"/>
                                <w:szCs w:val="20"/>
                              </w:rPr>
                            </w:pPr>
                            <w:r>
                              <w:rPr>
                                <w:b/>
                                <w:sz w:val="20"/>
                                <w:szCs w:val="20"/>
                              </w:rPr>
                              <w:t xml:space="preserve">3. </w:t>
                            </w:r>
                            <w:r w:rsidRPr="00E00417">
                              <w:rPr>
                                <w:b/>
                                <w:sz w:val="20"/>
                                <w:szCs w:val="20"/>
                              </w:rPr>
                              <w:t>High pressure processing for rendered meals</w:t>
                            </w:r>
                          </w:p>
                        </w:tc>
                        <w:tc>
                          <w:tcPr>
                            <w:tcW w:w="1248" w:type="dxa"/>
                            <w:tcBorders>
                              <w:top w:val="single" w:sz="6" w:space="0" w:color="BFBFBF" w:themeColor="background1" w:themeShade="BF"/>
                              <w:bottom w:val="single" w:sz="6" w:space="0" w:color="BFBFBF" w:themeColor="background1" w:themeShade="BF"/>
                            </w:tcBorders>
                            <w:vAlign w:val="bottom"/>
                          </w:tcPr>
                          <w:p w14:paraId="18B44CE3" w14:textId="77777777" w:rsidR="009954B8" w:rsidRPr="007A14DA" w:rsidRDefault="009954B8" w:rsidP="005A407C">
                            <w:pPr>
                              <w:spacing w:before="40" w:after="40" w:line="240" w:lineRule="auto"/>
                              <w:jc w:val="left"/>
                              <w:rPr>
                                <w:sz w:val="20"/>
                                <w:szCs w:val="20"/>
                              </w:rPr>
                            </w:pPr>
                          </w:p>
                        </w:tc>
                        <w:tc>
                          <w:tcPr>
                            <w:tcW w:w="2381" w:type="dxa"/>
                            <w:tcBorders>
                              <w:top w:val="single" w:sz="6" w:space="0" w:color="BFBFBF" w:themeColor="background1" w:themeShade="BF"/>
                              <w:bottom w:val="single" w:sz="6" w:space="0" w:color="BFBFBF" w:themeColor="background1" w:themeShade="BF"/>
                            </w:tcBorders>
                            <w:vAlign w:val="bottom"/>
                          </w:tcPr>
                          <w:p w14:paraId="57F64C72" w14:textId="77777777" w:rsidR="009954B8" w:rsidRPr="007A14DA" w:rsidRDefault="009954B8" w:rsidP="005A407C">
                            <w:pPr>
                              <w:spacing w:before="40" w:after="40" w:line="240" w:lineRule="auto"/>
                              <w:jc w:val="left"/>
                              <w:rPr>
                                <w:sz w:val="20"/>
                                <w:szCs w:val="20"/>
                              </w:rPr>
                            </w:pPr>
                          </w:p>
                        </w:tc>
                      </w:tr>
                      <w:tr w:rsidR="009954B8" w:rsidRPr="007A14DA" w14:paraId="7B2EFB55" w14:textId="77777777" w:rsidTr="00EA58F4">
                        <w:tc>
                          <w:tcPr>
                            <w:tcW w:w="3686" w:type="dxa"/>
                            <w:tcBorders>
                              <w:top w:val="single" w:sz="6" w:space="0" w:color="BFBFBF" w:themeColor="background1" w:themeShade="BF"/>
                              <w:bottom w:val="single" w:sz="6" w:space="0" w:color="BFBFBF" w:themeColor="background1" w:themeShade="BF"/>
                            </w:tcBorders>
                          </w:tcPr>
                          <w:p w14:paraId="04830509" w14:textId="77777777" w:rsidR="009954B8" w:rsidRPr="007A14DA" w:rsidRDefault="009954B8" w:rsidP="005A407C">
                            <w:pPr>
                              <w:spacing w:before="40" w:after="40" w:line="240" w:lineRule="auto"/>
                              <w:ind w:left="113"/>
                              <w:jc w:val="left"/>
                              <w:rPr>
                                <w:sz w:val="20"/>
                                <w:szCs w:val="20"/>
                              </w:rPr>
                            </w:pPr>
                            <w:r>
                              <w:rPr>
                                <w:sz w:val="20"/>
                                <w:szCs w:val="20"/>
                              </w:rPr>
                              <w:t>Number of abattoirs requiring upgrade (no.)</w:t>
                            </w:r>
                          </w:p>
                        </w:tc>
                        <w:tc>
                          <w:tcPr>
                            <w:tcW w:w="1162" w:type="dxa"/>
                            <w:tcBorders>
                              <w:top w:val="single" w:sz="6" w:space="0" w:color="BFBFBF" w:themeColor="background1" w:themeShade="BF"/>
                              <w:bottom w:val="single" w:sz="6" w:space="0" w:color="BFBFBF" w:themeColor="background1" w:themeShade="BF"/>
                            </w:tcBorders>
                          </w:tcPr>
                          <w:p w14:paraId="3164D308" w14:textId="77777777" w:rsidR="009954B8" w:rsidRPr="00C67A86" w:rsidRDefault="009954B8" w:rsidP="005A407C">
                            <w:pPr>
                              <w:spacing w:before="40" w:after="40" w:line="240" w:lineRule="auto"/>
                              <w:ind w:left="170"/>
                              <w:rPr>
                                <w:i/>
                                <w:sz w:val="20"/>
                                <w:szCs w:val="20"/>
                              </w:rPr>
                            </w:pPr>
                            <w:r w:rsidRPr="00C67A86">
                              <w:rPr>
                                <w:i/>
                                <w:sz w:val="20"/>
                                <w:szCs w:val="20"/>
                              </w:rPr>
                              <w:t>N</w:t>
                            </w:r>
                            <w:r w:rsidRPr="002E51F6">
                              <w:rPr>
                                <w:i/>
                                <w:sz w:val="20"/>
                                <w:szCs w:val="20"/>
                                <w:vertAlign w:val="subscript"/>
                              </w:rPr>
                              <w:t>R</w:t>
                            </w:r>
                          </w:p>
                        </w:tc>
                        <w:tc>
                          <w:tcPr>
                            <w:tcW w:w="1248" w:type="dxa"/>
                            <w:tcBorders>
                              <w:top w:val="single" w:sz="6" w:space="0" w:color="BFBFBF" w:themeColor="background1" w:themeShade="BF"/>
                              <w:bottom w:val="single" w:sz="6" w:space="0" w:color="BFBFBF" w:themeColor="background1" w:themeShade="BF"/>
                            </w:tcBorders>
                          </w:tcPr>
                          <w:p w14:paraId="0400AC8E" w14:textId="77777777" w:rsidR="009954B8" w:rsidRPr="00700712" w:rsidRDefault="009954B8" w:rsidP="005A407C">
                            <w:pPr>
                              <w:spacing w:before="40" w:after="40" w:line="240" w:lineRule="auto"/>
                              <w:rPr>
                                <w:sz w:val="20"/>
                                <w:szCs w:val="20"/>
                              </w:rPr>
                            </w:pPr>
                            <w:r w:rsidRPr="00700712">
                              <w:rPr>
                                <w:sz w:val="20"/>
                                <w:szCs w:val="20"/>
                              </w:rPr>
                              <w:t>70</w:t>
                            </w:r>
                          </w:p>
                        </w:tc>
                        <w:tc>
                          <w:tcPr>
                            <w:tcW w:w="2381" w:type="dxa"/>
                            <w:tcBorders>
                              <w:top w:val="single" w:sz="6" w:space="0" w:color="BFBFBF" w:themeColor="background1" w:themeShade="BF"/>
                              <w:bottom w:val="single" w:sz="6" w:space="0" w:color="BFBFBF" w:themeColor="background1" w:themeShade="BF"/>
                            </w:tcBorders>
                          </w:tcPr>
                          <w:p w14:paraId="28E8847A" w14:textId="77777777" w:rsidR="009954B8" w:rsidRPr="007A14DA" w:rsidRDefault="009954B8" w:rsidP="005A407C">
                            <w:pPr>
                              <w:spacing w:before="40" w:after="40" w:line="240" w:lineRule="auto"/>
                              <w:rPr>
                                <w:sz w:val="20"/>
                                <w:szCs w:val="20"/>
                              </w:rPr>
                            </w:pPr>
                            <w:r>
                              <w:rPr>
                                <w:sz w:val="20"/>
                                <w:szCs w:val="20"/>
                              </w:rPr>
                              <w:t xml:space="preserve">ARA; </w:t>
                            </w:r>
                          </w:p>
                        </w:tc>
                      </w:tr>
                      <w:tr w:rsidR="009954B8" w:rsidRPr="007A14DA" w14:paraId="361BC433" w14:textId="77777777" w:rsidTr="00EA58F4">
                        <w:tc>
                          <w:tcPr>
                            <w:tcW w:w="3686" w:type="dxa"/>
                            <w:tcBorders>
                              <w:top w:val="single" w:sz="6" w:space="0" w:color="BFBFBF" w:themeColor="background1" w:themeShade="BF"/>
                              <w:bottom w:val="single" w:sz="6" w:space="0" w:color="BFBFBF" w:themeColor="background1" w:themeShade="BF"/>
                            </w:tcBorders>
                          </w:tcPr>
                          <w:p w14:paraId="546CE2DD" w14:textId="77777777" w:rsidR="009954B8" w:rsidRDefault="009954B8" w:rsidP="005A407C">
                            <w:pPr>
                              <w:spacing w:before="40" w:after="40" w:line="240" w:lineRule="auto"/>
                              <w:ind w:left="113"/>
                              <w:rPr>
                                <w:sz w:val="20"/>
                                <w:szCs w:val="20"/>
                              </w:rPr>
                            </w:pPr>
                            <w:r>
                              <w:rPr>
                                <w:sz w:val="20"/>
                                <w:szCs w:val="20"/>
                              </w:rPr>
                              <w:t>Cost of high-pressure cleaning upgrade (AUD)</w:t>
                            </w:r>
                          </w:p>
                        </w:tc>
                        <w:tc>
                          <w:tcPr>
                            <w:tcW w:w="1162" w:type="dxa"/>
                            <w:tcBorders>
                              <w:top w:val="single" w:sz="6" w:space="0" w:color="BFBFBF" w:themeColor="background1" w:themeShade="BF"/>
                              <w:bottom w:val="single" w:sz="6" w:space="0" w:color="BFBFBF" w:themeColor="background1" w:themeShade="BF"/>
                            </w:tcBorders>
                          </w:tcPr>
                          <w:p w14:paraId="70482335" w14:textId="77777777" w:rsidR="009954B8" w:rsidRPr="001F2BD5" w:rsidRDefault="009954B8" w:rsidP="005A407C">
                            <w:pPr>
                              <w:spacing w:before="40" w:after="40" w:line="240" w:lineRule="auto"/>
                              <w:ind w:left="170"/>
                              <w:rPr>
                                <w:i/>
                                <w:sz w:val="20"/>
                                <w:szCs w:val="20"/>
                              </w:rPr>
                            </w:pPr>
                            <w:r>
                              <w:rPr>
                                <w:i/>
                                <w:sz w:val="20"/>
                                <w:szCs w:val="20"/>
                              </w:rPr>
                              <w:t>CU</w:t>
                            </w:r>
                            <w:r w:rsidRPr="00495CC5">
                              <w:rPr>
                                <w:i/>
                                <w:sz w:val="20"/>
                                <w:szCs w:val="20"/>
                                <w:vertAlign w:val="subscript"/>
                              </w:rPr>
                              <w:t>HPP</w:t>
                            </w:r>
                          </w:p>
                        </w:tc>
                        <w:tc>
                          <w:tcPr>
                            <w:tcW w:w="1248" w:type="dxa"/>
                            <w:tcBorders>
                              <w:top w:val="single" w:sz="6" w:space="0" w:color="BFBFBF" w:themeColor="background1" w:themeShade="BF"/>
                              <w:bottom w:val="single" w:sz="6" w:space="0" w:color="BFBFBF" w:themeColor="background1" w:themeShade="BF"/>
                            </w:tcBorders>
                          </w:tcPr>
                          <w:p w14:paraId="1A7B89D0" w14:textId="77777777" w:rsidR="009954B8" w:rsidRDefault="009954B8" w:rsidP="005A407C">
                            <w:pPr>
                              <w:spacing w:before="40" w:after="40" w:line="240" w:lineRule="auto"/>
                              <w:rPr>
                                <w:sz w:val="20"/>
                                <w:szCs w:val="20"/>
                              </w:rPr>
                            </w:pPr>
                            <w:r w:rsidRPr="00984DDA">
                              <w:rPr>
                                <w:sz w:val="20"/>
                                <w:szCs w:val="20"/>
                              </w:rPr>
                              <w:t>2,000,000</w:t>
                            </w:r>
                          </w:p>
                        </w:tc>
                        <w:tc>
                          <w:tcPr>
                            <w:tcW w:w="2381" w:type="dxa"/>
                            <w:tcBorders>
                              <w:top w:val="single" w:sz="6" w:space="0" w:color="BFBFBF" w:themeColor="background1" w:themeShade="BF"/>
                              <w:bottom w:val="single" w:sz="6" w:space="0" w:color="BFBFBF" w:themeColor="background1" w:themeShade="BF"/>
                            </w:tcBorders>
                          </w:tcPr>
                          <w:p w14:paraId="1062B739" w14:textId="77777777" w:rsidR="009954B8" w:rsidRPr="007A14DA" w:rsidRDefault="009954B8" w:rsidP="005A407C">
                            <w:pPr>
                              <w:spacing w:before="40" w:after="40" w:line="240" w:lineRule="auto"/>
                              <w:jc w:val="left"/>
                              <w:rPr>
                                <w:sz w:val="20"/>
                                <w:szCs w:val="20"/>
                              </w:rPr>
                            </w:pPr>
                            <w:r>
                              <w:rPr>
                                <w:sz w:val="20"/>
                                <w:szCs w:val="20"/>
                              </w:rPr>
                              <w:t>ARA; a base estimate, Could be &gt; $5m depending on the upgrades required</w:t>
                            </w:r>
                          </w:p>
                        </w:tc>
                      </w:tr>
                      <w:tr w:rsidR="009954B8" w:rsidRPr="007A14DA" w14:paraId="47F39F53" w14:textId="77777777" w:rsidTr="00EA58F4">
                        <w:trPr>
                          <w:trHeight w:val="624"/>
                        </w:trPr>
                        <w:tc>
                          <w:tcPr>
                            <w:tcW w:w="6096" w:type="dxa"/>
                            <w:gridSpan w:val="3"/>
                            <w:tcBorders>
                              <w:top w:val="single" w:sz="6" w:space="0" w:color="BFBFBF" w:themeColor="background1" w:themeShade="BF"/>
                              <w:bottom w:val="single" w:sz="6" w:space="0" w:color="BFBFBF" w:themeColor="background1" w:themeShade="BF"/>
                            </w:tcBorders>
                            <w:vAlign w:val="bottom"/>
                          </w:tcPr>
                          <w:p w14:paraId="62429EBC" w14:textId="77777777" w:rsidR="009954B8" w:rsidRPr="007A14DA" w:rsidRDefault="009954B8" w:rsidP="005A407C">
                            <w:pPr>
                              <w:spacing w:before="40" w:after="40" w:line="240" w:lineRule="auto"/>
                              <w:jc w:val="left"/>
                              <w:rPr>
                                <w:sz w:val="20"/>
                                <w:szCs w:val="20"/>
                              </w:rPr>
                            </w:pPr>
                            <w:r>
                              <w:rPr>
                                <w:b/>
                                <w:sz w:val="20"/>
                                <w:szCs w:val="20"/>
                              </w:rPr>
                              <w:t xml:space="preserve">4. </w:t>
                            </w:r>
                            <w:r w:rsidRPr="00E00417">
                              <w:rPr>
                                <w:b/>
                                <w:sz w:val="20"/>
                                <w:szCs w:val="20"/>
                              </w:rPr>
                              <w:t>Dedicated feed lines for production of ruminant feed</w:t>
                            </w:r>
                          </w:p>
                        </w:tc>
                        <w:tc>
                          <w:tcPr>
                            <w:tcW w:w="2381" w:type="dxa"/>
                            <w:tcBorders>
                              <w:top w:val="single" w:sz="6" w:space="0" w:color="BFBFBF" w:themeColor="background1" w:themeShade="BF"/>
                              <w:bottom w:val="single" w:sz="6" w:space="0" w:color="BFBFBF" w:themeColor="background1" w:themeShade="BF"/>
                            </w:tcBorders>
                            <w:vAlign w:val="bottom"/>
                          </w:tcPr>
                          <w:p w14:paraId="30D073B4" w14:textId="77777777" w:rsidR="009954B8" w:rsidRPr="007A14DA" w:rsidRDefault="009954B8" w:rsidP="005A407C">
                            <w:pPr>
                              <w:spacing w:before="40" w:after="40" w:line="240" w:lineRule="auto"/>
                              <w:jc w:val="left"/>
                              <w:rPr>
                                <w:sz w:val="20"/>
                                <w:szCs w:val="20"/>
                              </w:rPr>
                            </w:pPr>
                          </w:p>
                        </w:tc>
                      </w:tr>
                      <w:tr w:rsidR="009954B8" w:rsidRPr="007A14DA" w14:paraId="6968D743" w14:textId="77777777" w:rsidTr="00EA58F4">
                        <w:tc>
                          <w:tcPr>
                            <w:tcW w:w="3686" w:type="dxa"/>
                            <w:tcBorders>
                              <w:top w:val="single" w:sz="6" w:space="0" w:color="BFBFBF" w:themeColor="background1" w:themeShade="BF"/>
                              <w:bottom w:val="single" w:sz="6" w:space="0" w:color="BFBFBF" w:themeColor="background1" w:themeShade="BF"/>
                            </w:tcBorders>
                          </w:tcPr>
                          <w:p w14:paraId="6834124F" w14:textId="77777777" w:rsidR="009954B8" w:rsidRDefault="009954B8" w:rsidP="005A407C">
                            <w:pPr>
                              <w:spacing w:before="40" w:after="40" w:line="240" w:lineRule="auto"/>
                              <w:ind w:left="113"/>
                              <w:rPr>
                                <w:sz w:val="20"/>
                                <w:szCs w:val="20"/>
                              </w:rPr>
                            </w:pPr>
                            <w:r>
                              <w:rPr>
                                <w:sz w:val="20"/>
                                <w:szCs w:val="20"/>
                              </w:rPr>
                              <w:t>Cost of installing a production line (AUD m)</w:t>
                            </w:r>
                          </w:p>
                        </w:tc>
                        <w:tc>
                          <w:tcPr>
                            <w:tcW w:w="1162" w:type="dxa"/>
                            <w:tcBorders>
                              <w:top w:val="single" w:sz="6" w:space="0" w:color="BFBFBF" w:themeColor="background1" w:themeShade="BF"/>
                              <w:bottom w:val="single" w:sz="6" w:space="0" w:color="BFBFBF" w:themeColor="background1" w:themeShade="BF"/>
                            </w:tcBorders>
                          </w:tcPr>
                          <w:p w14:paraId="30AF54C4" w14:textId="77777777" w:rsidR="009954B8" w:rsidRPr="00453D90" w:rsidRDefault="009954B8" w:rsidP="005A407C">
                            <w:pPr>
                              <w:spacing w:before="40" w:after="40" w:line="240" w:lineRule="auto"/>
                              <w:ind w:left="170"/>
                              <w:rPr>
                                <w:i/>
                                <w:sz w:val="20"/>
                                <w:szCs w:val="20"/>
                                <w:vertAlign w:val="subscript"/>
                              </w:rPr>
                            </w:pPr>
                            <w:r>
                              <w:rPr>
                                <w:i/>
                                <w:sz w:val="20"/>
                                <w:szCs w:val="20"/>
                              </w:rPr>
                              <w:t>CU</w:t>
                            </w:r>
                            <w:r>
                              <w:rPr>
                                <w:i/>
                                <w:sz w:val="20"/>
                                <w:szCs w:val="20"/>
                                <w:vertAlign w:val="subscript"/>
                              </w:rPr>
                              <w:t>PL</w:t>
                            </w:r>
                          </w:p>
                        </w:tc>
                        <w:tc>
                          <w:tcPr>
                            <w:tcW w:w="1248" w:type="dxa"/>
                            <w:tcBorders>
                              <w:top w:val="single" w:sz="6" w:space="0" w:color="BFBFBF" w:themeColor="background1" w:themeShade="BF"/>
                              <w:bottom w:val="single" w:sz="6" w:space="0" w:color="BFBFBF" w:themeColor="background1" w:themeShade="BF"/>
                            </w:tcBorders>
                          </w:tcPr>
                          <w:p w14:paraId="5153A48A" w14:textId="77777777" w:rsidR="009954B8" w:rsidRDefault="009954B8" w:rsidP="005A407C">
                            <w:pPr>
                              <w:spacing w:before="40" w:after="40" w:line="240" w:lineRule="auto"/>
                              <w:rPr>
                                <w:sz w:val="20"/>
                                <w:szCs w:val="20"/>
                              </w:rPr>
                            </w:pPr>
                            <w:r>
                              <w:rPr>
                                <w:sz w:val="20"/>
                                <w:szCs w:val="20"/>
                              </w:rPr>
                              <w:t>75</w:t>
                            </w:r>
                          </w:p>
                        </w:tc>
                        <w:tc>
                          <w:tcPr>
                            <w:tcW w:w="2381" w:type="dxa"/>
                            <w:tcBorders>
                              <w:top w:val="single" w:sz="6" w:space="0" w:color="BFBFBF" w:themeColor="background1" w:themeShade="BF"/>
                              <w:bottom w:val="single" w:sz="6" w:space="0" w:color="BFBFBF" w:themeColor="background1" w:themeShade="BF"/>
                            </w:tcBorders>
                          </w:tcPr>
                          <w:p w14:paraId="10DC2AF6" w14:textId="77777777" w:rsidR="009954B8" w:rsidRPr="007A14DA" w:rsidRDefault="009954B8" w:rsidP="005A407C">
                            <w:pPr>
                              <w:spacing w:before="40" w:after="40" w:line="240" w:lineRule="auto"/>
                              <w:rPr>
                                <w:sz w:val="20"/>
                                <w:szCs w:val="20"/>
                              </w:rPr>
                            </w:pPr>
                            <w:r>
                              <w:rPr>
                                <w:sz w:val="20"/>
                                <w:szCs w:val="20"/>
                              </w:rPr>
                              <w:t>SFMCA</w:t>
                            </w:r>
                          </w:p>
                        </w:tc>
                      </w:tr>
                      <w:tr w:rsidR="009954B8" w:rsidRPr="007A14DA" w14:paraId="44A21266" w14:textId="77777777" w:rsidTr="00EA58F4">
                        <w:tc>
                          <w:tcPr>
                            <w:tcW w:w="3686" w:type="dxa"/>
                            <w:tcBorders>
                              <w:top w:val="single" w:sz="6" w:space="0" w:color="BFBFBF" w:themeColor="background1" w:themeShade="BF"/>
                              <w:bottom w:val="single" w:sz="6" w:space="0" w:color="BFBFBF" w:themeColor="background1" w:themeShade="BF"/>
                            </w:tcBorders>
                          </w:tcPr>
                          <w:p w14:paraId="76171282" w14:textId="77777777" w:rsidR="009954B8" w:rsidRDefault="009954B8" w:rsidP="005A407C">
                            <w:pPr>
                              <w:spacing w:before="40" w:after="40" w:line="240" w:lineRule="auto"/>
                              <w:ind w:left="113"/>
                              <w:rPr>
                                <w:sz w:val="20"/>
                                <w:szCs w:val="20"/>
                              </w:rPr>
                            </w:pPr>
                            <w:r>
                              <w:rPr>
                                <w:sz w:val="20"/>
                                <w:szCs w:val="20"/>
                              </w:rPr>
                              <w:t>Total number of feed mills</w:t>
                            </w:r>
                          </w:p>
                        </w:tc>
                        <w:tc>
                          <w:tcPr>
                            <w:tcW w:w="1162" w:type="dxa"/>
                            <w:tcBorders>
                              <w:top w:val="single" w:sz="6" w:space="0" w:color="BFBFBF" w:themeColor="background1" w:themeShade="BF"/>
                              <w:bottom w:val="single" w:sz="6" w:space="0" w:color="BFBFBF" w:themeColor="background1" w:themeShade="BF"/>
                            </w:tcBorders>
                          </w:tcPr>
                          <w:p w14:paraId="6E2DF804" w14:textId="77777777" w:rsidR="009954B8" w:rsidRDefault="009954B8" w:rsidP="005A407C">
                            <w:pPr>
                              <w:spacing w:before="40" w:after="40" w:line="240" w:lineRule="auto"/>
                              <w:ind w:left="170"/>
                              <w:rPr>
                                <w:i/>
                                <w:sz w:val="20"/>
                                <w:szCs w:val="20"/>
                              </w:rPr>
                            </w:pPr>
                            <w:r>
                              <w:rPr>
                                <w:i/>
                                <w:sz w:val="20"/>
                                <w:szCs w:val="20"/>
                              </w:rPr>
                              <w:t>NM</w:t>
                            </w:r>
                          </w:p>
                        </w:tc>
                        <w:tc>
                          <w:tcPr>
                            <w:tcW w:w="1248" w:type="dxa"/>
                            <w:tcBorders>
                              <w:top w:val="single" w:sz="6" w:space="0" w:color="BFBFBF" w:themeColor="background1" w:themeShade="BF"/>
                              <w:bottom w:val="single" w:sz="6" w:space="0" w:color="BFBFBF" w:themeColor="background1" w:themeShade="BF"/>
                            </w:tcBorders>
                          </w:tcPr>
                          <w:p w14:paraId="749095C7" w14:textId="77777777" w:rsidR="009954B8" w:rsidRDefault="009954B8" w:rsidP="005A407C">
                            <w:pPr>
                              <w:spacing w:before="40" w:after="40" w:line="240" w:lineRule="auto"/>
                              <w:rPr>
                                <w:sz w:val="20"/>
                                <w:szCs w:val="20"/>
                              </w:rPr>
                            </w:pPr>
                            <w:r>
                              <w:rPr>
                                <w:sz w:val="20"/>
                                <w:szCs w:val="20"/>
                              </w:rPr>
                              <w:t>195</w:t>
                            </w:r>
                          </w:p>
                        </w:tc>
                        <w:tc>
                          <w:tcPr>
                            <w:tcW w:w="2381" w:type="dxa"/>
                            <w:tcBorders>
                              <w:top w:val="single" w:sz="6" w:space="0" w:color="BFBFBF" w:themeColor="background1" w:themeShade="BF"/>
                              <w:bottom w:val="single" w:sz="6" w:space="0" w:color="BFBFBF" w:themeColor="background1" w:themeShade="BF"/>
                            </w:tcBorders>
                          </w:tcPr>
                          <w:p w14:paraId="69CEFBE3" w14:textId="77777777" w:rsidR="009954B8" w:rsidRDefault="009954B8" w:rsidP="005A407C">
                            <w:pPr>
                              <w:spacing w:before="40" w:after="40" w:line="240" w:lineRule="auto"/>
                              <w:rPr>
                                <w:sz w:val="20"/>
                                <w:szCs w:val="20"/>
                              </w:rPr>
                            </w:pPr>
                            <w:r>
                              <w:rPr>
                                <w:sz w:val="20"/>
                                <w:szCs w:val="20"/>
                              </w:rPr>
                              <w:t>SFMCA;</w:t>
                            </w:r>
                          </w:p>
                        </w:tc>
                      </w:tr>
                      <w:tr w:rsidR="009954B8" w:rsidRPr="007A14DA" w14:paraId="7D5553DA" w14:textId="77777777" w:rsidTr="00EA58F4">
                        <w:tc>
                          <w:tcPr>
                            <w:tcW w:w="3686" w:type="dxa"/>
                            <w:tcBorders>
                              <w:top w:val="single" w:sz="6" w:space="0" w:color="BFBFBF" w:themeColor="background1" w:themeShade="BF"/>
                              <w:bottom w:val="single" w:sz="6" w:space="0" w:color="BFBFBF" w:themeColor="background1" w:themeShade="BF"/>
                            </w:tcBorders>
                          </w:tcPr>
                          <w:p w14:paraId="18A8B237" w14:textId="77777777" w:rsidR="009954B8" w:rsidRDefault="009954B8" w:rsidP="005A407C">
                            <w:pPr>
                              <w:spacing w:before="40" w:after="40" w:line="240" w:lineRule="auto"/>
                              <w:ind w:left="113"/>
                              <w:rPr>
                                <w:sz w:val="20"/>
                                <w:szCs w:val="20"/>
                              </w:rPr>
                            </w:pPr>
                            <w:r>
                              <w:rPr>
                                <w:sz w:val="20"/>
                                <w:szCs w:val="20"/>
                              </w:rPr>
                              <w:t>Proportion of mills installing new lines</w:t>
                            </w:r>
                          </w:p>
                        </w:tc>
                        <w:tc>
                          <w:tcPr>
                            <w:tcW w:w="1162" w:type="dxa"/>
                            <w:tcBorders>
                              <w:top w:val="single" w:sz="6" w:space="0" w:color="BFBFBF" w:themeColor="background1" w:themeShade="BF"/>
                              <w:bottom w:val="single" w:sz="6" w:space="0" w:color="BFBFBF" w:themeColor="background1" w:themeShade="BF"/>
                            </w:tcBorders>
                          </w:tcPr>
                          <w:p w14:paraId="1AC9B5AF" w14:textId="77777777" w:rsidR="009954B8" w:rsidRDefault="009954B8" w:rsidP="005A407C">
                            <w:pPr>
                              <w:spacing w:before="40" w:after="40" w:line="240" w:lineRule="auto"/>
                              <w:ind w:left="170"/>
                              <w:rPr>
                                <w:i/>
                                <w:sz w:val="20"/>
                                <w:szCs w:val="20"/>
                              </w:rPr>
                            </w:pPr>
                            <w:r>
                              <w:rPr>
                                <w:i/>
                                <w:sz w:val="20"/>
                                <w:szCs w:val="20"/>
                              </w:rPr>
                              <w:t>prop</w:t>
                            </w:r>
                          </w:p>
                        </w:tc>
                        <w:tc>
                          <w:tcPr>
                            <w:tcW w:w="1248" w:type="dxa"/>
                            <w:tcBorders>
                              <w:top w:val="single" w:sz="6" w:space="0" w:color="BFBFBF" w:themeColor="background1" w:themeShade="BF"/>
                              <w:bottom w:val="single" w:sz="6" w:space="0" w:color="BFBFBF" w:themeColor="background1" w:themeShade="BF"/>
                            </w:tcBorders>
                          </w:tcPr>
                          <w:p w14:paraId="474BBBE9" w14:textId="77777777" w:rsidR="009954B8" w:rsidRDefault="009954B8" w:rsidP="005A407C">
                            <w:pPr>
                              <w:spacing w:before="40" w:after="40" w:line="240" w:lineRule="auto"/>
                              <w:rPr>
                                <w:sz w:val="20"/>
                                <w:szCs w:val="20"/>
                              </w:rPr>
                            </w:pPr>
                            <w:r>
                              <w:rPr>
                                <w:sz w:val="20"/>
                                <w:szCs w:val="20"/>
                              </w:rPr>
                              <w:t>0.3</w:t>
                            </w:r>
                          </w:p>
                        </w:tc>
                        <w:tc>
                          <w:tcPr>
                            <w:tcW w:w="2381" w:type="dxa"/>
                            <w:tcBorders>
                              <w:top w:val="single" w:sz="6" w:space="0" w:color="BFBFBF" w:themeColor="background1" w:themeShade="BF"/>
                              <w:bottom w:val="single" w:sz="6" w:space="0" w:color="BFBFBF" w:themeColor="background1" w:themeShade="BF"/>
                            </w:tcBorders>
                          </w:tcPr>
                          <w:p w14:paraId="3F74C278" w14:textId="77777777" w:rsidR="009954B8" w:rsidRDefault="009954B8" w:rsidP="005A407C">
                            <w:pPr>
                              <w:spacing w:before="40" w:after="40" w:line="240" w:lineRule="auto"/>
                              <w:rPr>
                                <w:sz w:val="20"/>
                                <w:szCs w:val="20"/>
                              </w:rPr>
                            </w:pPr>
                            <w:r>
                              <w:rPr>
                                <w:sz w:val="20"/>
                                <w:szCs w:val="20"/>
                              </w:rPr>
                              <w:t>estimate</w:t>
                            </w:r>
                          </w:p>
                        </w:tc>
                      </w:tr>
                      <w:tr w:rsidR="009954B8" w:rsidRPr="007A14DA" w14:paraId="6AFBBE72" w14:textId="77777777" w:rsidTr="00EA58F4">
                        <w:tc>
                          <w:tcPr>
                            <w:tcW w:w="3686" w:type="dxa"/>
                            <w:tcBorders>
                              <w:top w:val="single" w:sz="6" w:space="0" w:color="BFBFBF" w:themeColor="background1" w:themeShade="BF"/>
                              <w:bottom w:val="single" w:sz="6" w:space="0" w:color="BFBFBF" w:themeColor="background1" w:themeShade="BF"/>
                            </w:tcBorders>
                          </w:tcPr>
                          <w:p w14:paraId="4D7EBF5E" w14:textId="77777777" w:rsidR="009954B8" w:rsidRDefault="009954B8" w:rsidP="005A407C">
                            <w:pPr>
                              <w:spacing w:before="40" w:after="40" w:line="240" w:lineRule="auto"/>
                              <w:ind w:left="113"/>
                              <w:rPr>
                                <w:sz w:val="20"/>
                                <w:szCs w:val="20"/>
                              </w:rPr>
                            </w:pPr>
                            <w:r>
                              <w:rPr>
                                <w:sz w:val="20"/>
                                <w:szCs w:val="20"/>
                              </w:rPr>
                              <w:t>Additional FTE required to manage additional line (no. per feed mill)</w:t>
                            </w:r>
                          </w:p>
                        </w:tc>
                        <w:tc>
                          <w:tcPr>
                            <w:tcW w:w="1162" w:type="dxa"/>
                            <w:tcBorders>
                              <w:top w:val="single" w:sz="6" w:space="0" w:color="BFBFBF" w:themeColor="background1" w:themeShade="BF"/>
                              <w:bottom w:val="single" w:sz="6" w:space="0" w:color="BFBFBF" w:themeColor="background1" w:themeShade="BF"/>
                            </w:tcBorders>
                          </w:tcPr>
                          <w:p w14:paraId="128045A7" w14:textId="77777777" w:rsidR="009954B8" w:rsidRPr="001F2BD5" w:rsidRDefault="009954B8" w:rsidP="005A407C">
                            <w:pPr>
                              <w:spacing w:before="40" w:after="40" w:line="240" w:lineRule="auto"/>
                              <w:ind w:left="170"/>
                              <w:rPr>
                                <w:i/>
                                <w:sz w:val="20"/>
                                <w:szCs w:val="20"/>
                              </w:rPr>
                            </w:pPr>
                            <w:r>
                              <w:rPr>
                                <w:i/>
                                <w:sz w:val="20"/>
                                <w:szCs w:val="20"/>
                              </w:rPr>
                              <w:t>FTE</w:t>
                            </w:r>
                            <w:r>
                              <w:rPr>
                                <w:i/>
                                <w:sz w:val="20"/>
                                <w:szCs w:val="20"/>
                                <w:vertAlign w:val="subscript"/>
                              </w:rPr>
                              <w:t>SF</w:t>
                            </w:r>
                          </w:p>
                        </w:tc>
                        <w:tc>
                          <w:tcPr>
                            <w:tcW w:w="1248" w:type="dxa"/>
                            <w:tcBorders>
                              <w:top w:val="single" w:sz="6" w:space="0" w:color="BFBFBF" w:themeColor="background1" w:themeShade="BF"/>
                              <w:bottom w:val="single" w:sz="6" w:space="0" w:color="BFBFBF" w:themeColor="background1" w:themeShade="BF"/>
                            </w:tcBorders>
                          </w:tcPr>
                          <w:p w14:paraId="5DFCDC9A" w14:textId="77777777" w:rsidR="009954B8" w:rsidRPr="007A14DA" w:rsidRDefault="009954B8" w:rsidP="005A407C">
                            <w:pPr>
                              <w:spacing w:before="40" w:after="40" w:line="240" w:lineRule="auto"/>
                              <w:rPr>
                                <w:sz w:val="20"/>
                                <w:szCs w:val="20"/>
                              </w:rPr>
                            </w:pPr>
                            <w:r>
                              <w:rPr>
                                <w:sz w:val="20"/>
                                <w:szCs w:val="20"/>
                              </w:rPr>
                              <w:t>2</w:t>
                            </w:r>
                          </w:p>
                        </w:tc>
                        <w:tc>
                          <w:tcPr>
                            <w:tcW w:w="2381" w:type="dxa"/>
                            <w:tcBorders>
                              <w:top w:val="single" w:sz="6" w:space="0" w:color="BFBFBF" w:themeColor="background1" w:themeShade="BF"/>
                              <w:bottom w:val="single" w:sz="6" w:space="0" w:color="BFBFBF" w:themeColor="background1" w:themeShade="BF"/>
                            </w:tcBorders>
                          </w:tcPr>
                          <w:p w14:paraId="48A7DDFB" w14:textId="77777777" w:rsidR="009954B8" w:rsidRPr="007A14DA" w:rsidRDefault="009954B8" w:rsidP="005A407C">
                            <w:pPr>
                              <w:spacing w:before="40" w:after="40" w:line="240" w:lineRule="auto"/>
                              <w:rPr>
                                <w:sz w:val="20"/>
                                <w:szCs w:val="20"/>
                              </w:rPr>
                            </w:pPr>
                            <w:r>
                              <w:rPr>
                                <w:sz w:val="20"/>
                                <w:szCs w:val="20"/>
                              </w:rPr>
                              <w:t>SFMCA; could be up to 3 FTE</w:t>
                            </w:r>
                          </w:p>
                        </w:tc>
                      </w:tr>
                      <w:tr w:rsidR="009954B8" w:rsidRPr="007A14DA" w14:paraId="666DF5BA" w14:textId="77777777" w:rsidTr="00A3372A">
                        <w:tc>
                          <w:tcPr>
                            <w:tcW w:w="3686" w:type="dxa"/>
                            <w:tcBorders>
                              <w:top w:val="single" w:sz="6" w:space="0" w:color="BFBFBF" w:themeColor="background1" w:themeShade="BF"/>
                              <w:bottom w:val="single" w:sz="6" w:space="0" w:color="BFBFBF" w:themeColor="background1" w:themeShade="BF"/>
                            </w:tcBorders>
                          </w:tcPr>
                          <w:p w14:paraId="56C61A91" w14:textId="77777777" w:rsidR="009954B8" w:rsidRDefault="009954B8" w:rsidP="005A407C">
                            <w:pPr>
                              <w:spacing w:before="40" w:after="40" w:line="240" w:lineRule="auto"/>
                              <w:ind w:left="113"/>
                              <w:rPr>
                                <w:sz w:val="20"/>
                                <w:szCs w:val="20"/>
                              </w:rPr>
                            </w:pPr>
                            <w:r>
                              <w:rPr>
                                <w:sz w:val="20"/>
                                <w:szCs w:val="20"/>
                              </w:rPr>
                              <w:t>Annual salary per FTE (AUD)</w:t>
                            </w:r>
                          </w:p>
                        </w:tc>
                        <w:tc>
                          <w:tcPr>
                            <w:tcW w:w="1162" w:type="dxa"/>
                            <w:tcBorders>
                              <w:top w:val="single" w:sz="6" w:space="0" w:color="BFBFBF" w:themeColor="background1" w:themeShade="BF"/>
                              <w:bottom w:val="single" w:sz="6" w:space="0" w:color="BFBFBF" w:themeColor="background1" w:themeShade="BF"/>
                            </w:tcBorders>
                          </w:tcPr>
                          <w:p w14:paraId="08F60FF6" w14:textId="77777777" w:rsidR="009954B8" w:rsidRPr="001F2BD5" w:rsidRDefault="009954B8" w:rsidP="005A407C">
                            <w:pPr>
                              <w:spacing w:before="40" w:after="40" w:line="240" w:lineRule="auto"/>
                              <w:ind w:left="170"/>
                              <w:rPr>
                                <w:i/>
                                <w:sz w:val="20"/>
                                <w:szCs w:val="20"/>
                              </w:rPr>
                            </w:pPr>
                            <w:r>
                              <w:rPr>
                                <w:i/>
                                <w:sz w:val="20"/>
                                <w:szCs w:val="20"/>
                              </w:rPr>
                              <w:t>CFTE</w:t>
                            </w:r>
                            <w:r w:rsidRPr="009A06F4">
                              <w:rPr>
                                <w:i/>
                                <w:sz w:val="20"/>
                                <w:szCs w:val="20"/>
                                <w:vertAlign w:val="subscript"/>
                              </w:rPr>
                              <w:t>SF</w:t>
                            </w:r>
                          </w:p>
                        </w:tc>
                        <w:tc>
                          <w:tcPr>
                            <w:tcW w:w="1248" w:type="dxa"/>
                            <w:tcBorders>
                              <w:top w:val="single" w:sz="6" w:space="0" w:color="BFBFBF" w:themeColor="background1" w:themeShade="BF"/>
                              <w:bottom w:val="single" w:sz="6" w:space="0" w:color="BFBFBF" w:themeColor="background1" w:themeShade="BF"/>
                            </w:tcBorders>
                          </w:tcPr>
                          <w:p w14:paraId="62CEF754" w14:textId="77777777" w:rsidR="009954B8" w:rsidRPr="007A14DA" w:rsidRDefault="009954B8" w:rsidP="005A407C">
                            <w:pPr>
                              <w:spacing w:before="40" w:after="40" w:line="240" w:lineRule="auto"/>
                              <w:rPr>
                                <w:sz w:val="20"/>
                                <w:szCs w:val="20"/>
                              </w:rPr>
                            </w:pPr>
                            <w:r>
                              <w:rPr>
                                <w:sz w:val="20"/>
                                <w:szCs w:val="20"/>
                              </w:rPr>
                              <w:t>70,000</w:t>
                            </w:r>
                          </w:p>
                        </w:tc>
                        <w:tc>
                          <w:tcPr>
                            <w:tcW w:w="2381" w:type="dxa"/>
                            <w:tcBorders>
                              <w:top w:val="single" w:sz="6" w:space="0" w:color="BFBFBF" w:themeColor="background1" w:themeShade="BF"/>
                              <w:bottom w:val="single" w:sz="6" w:space="0" w:color="BFBFBF" w:themeColor="background1" w:themeShade="BF"/>
                            </w:tcBorders>
                          </w:tcPr>
                          <w:p w14:paraId="38F33CBD" w14:textId="77777777" w:rsidR="009954B8" w:rsidRPr="007A14DA" w:rsidRDefault="009954B8" w:rsidP="005A407C">
                            <w:pPr>
                              <w:spacing w:before="40" w:after="40" w:line="240" w:lineRule="auto"/>
                              <w:rPr>
                                <w:sz w:val="20"/>
                                <w:szCs w:val="20"/>
                              </w:rPr>
                            </w:pPr>
                            <w:r>
                              <w:rPr>
                                <w:sz w:val="20"/>
                                <w:szCs w:val="20"/>
                              </w:rPr>
                              <w:t>SFMCA</w:t>
                            </w:r>
                          </w:p>
                        </w:tc>
                      </w:tr>
                      <w:tr w:rsidR="009954B8" w:rsidRPr="007A14DA" w14:paraId="63E157F7" w14:textId="77777777" w:rsidTr="00A3372A">
                        <w:tc>
                          <w:tcPr>
                            <w:tcW w:w="3686" w:type="dxa"/>
                            <w:tcBorders>
                              <w:top w:val="single" w:sz="6" w:space="0" w:color="BFBFBF" w:themeColor="background1" w:themeShade="BF"/>
                              <w:bottom w:val="single" w:sz="4" w:space="0" w:color="auto"/>
                            </w:tcBorders>
                          </w:tcPr>
                          <w:p w14:paraId="2378BCF5" w14:textId="77777777" w:rsidR="009954B8" w:rsidRDefault="009954B8" w:rsidP="005A407C">
                            <w:pPr>
                              <w:spacing w:before="40" w:after="40" w:line="240" w:lineRule="auto"/>
                              <w:ind w:left="113"/>
                              <w:rPr>
                                <w:sz w:val="20"/>
                                <w:szCs w:val="20"/>
                              </w:rPr>
                            </w:pPr>
                            <w:r>
                              <w:rPr>
                                <w:sz w:val="20"/>
                                <w:szCs w:val="20"/>
                              </w:rPr>
                              <w:t>Cost of storage silo (AUD)</w:t>
                            </w:r>
                          </w:p>
                        </w:tc>
                        <w:tc>
                          <w:tcPr>
                            <w:tcW w:w="1162" w:type="dxa"/>
                            <w:tcBorders>
                              <w:top w:val="single" w:sz="6" w:space="0" w:color="BFBFBF" w:themeColor="background1" w:themeShade="BF"/>
                              <w:bottom w:val="single" w:sz="4" w:space="0" w:color="auto"/>
                            </w:tcBorders>
                          </w:tcPr>
                          <w:p w14:paraId="69F5DB6B" w14:textId="77777777" w:rsidR="009954B8" w:rsidRPr="001F2BD5" w:rsidRDefault="009954B8" w:rsidP="005A407C">
                            <w:pPr>
                              <w:spacing w:before="40" w:after="40" w:line="240" w:lineRule="auto"/>
                              <w:ind w:left="170"/>
                              <w:rPr>
                                <w:i/>
                                <w:sz w:val="20"/>
                                <w:szCs w:val="20"/>
                              </w:rPr>
                            </w:pPr>
                            <w:r>
                              <w:rPr>
                                <w:i/>
                                <w:sz w:val="20"/>
                                <w:szCs w:val="20"/>
                              </w:rPr>
                              <w:t>CS</w:t>
                            </w:r>
                          </w:p>
                        </w:tc>
                        <w:tc>
                          <w:tcPr>
                            <w:tcW w:w="1248" w:type="dxa"/>
                            <w:tcBorders>
                              <w:top w:val="single" w:sz="6" w:space="0" w:color="BFBFBF" w:themeColor="background1" w:themeShade="BF"/>
                              <w:bottom w:val="single" w:sz="4" w:space="0" w:color="auto"/>
                            </w:tcBorders>
                          </w:tcPr>
                          <w:p w14:paraId="17EF7E9A" w14:textId="77777777" w:rsidR="009954B8" w:rsidRPr="007A14DA" w:rsidRDefault="009954B8" w:rsidP="005A407C">
                            <w:pPr>
                              <w:spacing w:before="40" w:after="40" w:line="240" w:lineRule="auto"/>
                              <w:rPr>
                                <w:sz w:val="20"/>
                                <w:szCs w:val="20"/>
                              </w:rPr>
                            </w:pPr>
                            <w:r>
                              <w:rPr>
                                <w:sz w:val="20"/>
                                <w:szCs w:val="20"/>
                              </w:rPr>
                              <w:t>100,000</w:t>
                            </w:r>
                          </w:p>
                        </w:tc>
                        <w:tc>
                          <w:tcPr>
                            <w:tcW w:w="2381" w:type="dxa"/>
                            <w:tcBorders>
                              <w:top w:val="single" w:sz="6" w:space="0" w:color="BFBFBF" w:themeColor="background1" w:themeShade="BF"/>
                              <w:bottom w:val="single" w:sz="4" w:space="0" w:color="auto"/>
                            </w:tcBorders>
                          </w:tcPr>
                          <w:p w14:paraId="59D88E8B" w14:textId="77777777" w:rsidR="009954B8" w:rsidRPr="007A14DA" w:rsidRDefault="009954B8" w:rsidP="005A407C">
                            <w:pPr>
                              <w:spacing w:before="40" w:after="40" w:line="240" w:lineRule="auto"/>
                              <w:rPr>
                                <w:sz w:val="20"/>
                                <w:szCs w:val="20"/>
                              </w:rPr>
                            </w:pPr>
                            <w:r>
                              <w:rPr>
                                <w:sz w:val="20"/>
                                <w:szCs w:val="20"/>
                              </w:rPr>
                              <w:t>SFMCA</w:t>
                            </w:r>
                          </w:p>
                        </w:tc>
                      </w:tr>
                    </w:tbl>
                    <w:p w14:paraId="56F88708" w14:textId="77777777" w:rsidR="009954B8" w:rsidRPr="00F76021" w:rsidRDefault="009954B8" w:rsidP="009954B8"/>
                  </w:txbxContent>
                </v:textbox>
                <w10:anchorlock/>
              </v:shape>
            </w:pict>
          </mc:Fallback>
        </mc:AlternateContent>
      </w:r>
    </w:p>
    <w:p w14:paraId="38F9C558" w14:textId="0CF31D93" w:rsidR="001B0008" w:rsidRDefault="009F4A00" w:rsidP="002E5846">
      <w:pPr>
        <w:pStyle w:val="Heading3"/>
      </w:pPr>
      <w:r>
        <w:lastRenderedPageBreak/>
        <w:t>Avoided outcome 2—</w:t>
      </w:r>
      <w:r w:rsidR="001B0008">
        <w:t>SRM removal from human and animal export chains</w:t>
      </w:r>
    </w:p>
    <w:p w14:paraId="56DCCB7E" w14:textId="1C186973" w:rsidR="006A1005" w:rsidRDefault="004F4B2E" w:rsidP="006A1005">
      <w:r>
        <w:t xml:space="preserve">While abattoir processes </w:t>
      </w:r>
      <w:r w:rsidR="0086474E">
        <w:t xml:space="preserve">already </w:t>
      </w:r>
      <w:r>
        <w:t xml:space="preserve">remove SRM, </w:t>
      </w:r>
      <w:r w:rsidR="0086474E">
        <w:t>under this scenario</w:t>
      </w:r>
      <w:r>
        <w:t xml:space="preserve"> </w:t>
      </w:r>
      <w:r w:rsidR="00A6777D">
        <w:t xml:space="preserve">additional </w:t>
      </w:r>
      <w:r w:rsidR="0086474E">
        <w:t xml:space="preserve">labour </w:t>
      </w:r>
      <w:r w:rsidR="00A6777D">
        <w:t>would be required</w:t>
      </w:r>
      <w:r>
        <w:t xml:space="preserve"> at each facility to ensure safe handling of the material</w:t>
      </w:r>
      <w:r w:rsidR="0086474E">
        <w:t>.</w:t>
      </w:r>
      <w:r>
        <w:t xml:space="preserve"> </w:t>
      </w:r>
      <w:r w:rsidR="001B0008">
        <w:t xml:space="preserve">Further, SRM would not be available as a raw material for </w:t>
      </w:r>
      <w:r w:rsidR="006A1005">
        <w:t xml:space="preserve">rendering (at a loss to </w:t>
      </w:r>
      <w:r w:rsidR="00856B05">
        <w:t>abattoirs</w:t>
      </w:r>
      <w:r w:rsidR="006A1005">
        <w:t>) and on</w:t>
      </w:r>
      <w:r w:rsidR="00856B05">
        <w:t>-</w:t>
      </w:r>
      <w:r w:rsidR="006A1005">
        <w:t>selling to pet- and stock-feed manufacturers (a loss to renderers). These changes to disposal of SRM would be permanent.</w:t>
      </w:r>
    </w:p>
    <w:p w14:paraId="6F77767D" w14:textId="57F8079E" w:rsidR="006A1005" w:rsidRDefault="006A1005" w:rsidP="006A1005">
      <w:r>
        <w:t>The calculation of avoided damages under this outcome is based on the following assumptions:</w:t>
      </w:r>
    </w:p>
    <w:p w14:paraId="48B7117A" w14:textId="0E576AB3" w:rsidR="007353B4" w:rsidRDefault="008E7B2B" w:rsidP="000819BB">
      <w:pPr>
        <w:pStyle w:val="ListParagraph"/>
        <w:numPr>
          <w:ilvl w:val="0"/>
          <w:numId w:val="23"/>
        </w:numPr>
      </w:pPr>
      <w:r>
        <w:t xml:space="preserve">Abattoir processes already remove SRM </w:t>
      </w:r>
      <w:r w:rsidR="007353B4">
        <w:t xml:space="preserve">and keep it separate, but there would be additional </w:t>
      </w:r>
      <w:r w:rsidR="00CB792D">
        <w:t>labour costs</w:t>
      </w:r>
      <w:r w:rsidR="007353B4">
        <w:t xml:space="preserve"> involved at each facility to ensure safe handling of the material.</w:t>
      </w:r>
    </w:p>
    <w:p w14:paraId="1E271319" w14:textId="505AA81B" w:rsidR="000819BB" w:rsidRDefault="000819BB" w:rsidP="000819BB">
      <w:pPr>
        <w:pStyle w:val="ListParagraph"/>
        <w:numPr>
          <w:ilvl w:val="0"/>
          <w:numId w:val="23"/>
        </w:numPr>
      </w:pPr>
      <w:r>
        <w:t xml:space="preserve">Disposal of SRM involves </w:t>
      </w:r>
      <w:r w:rsidR="00FC611F">
        <w:t>deep burial</w:t>
      </w:r>
      <w:r>
        <w:t xml:space="preserve">, </w:t>
      </w:r>
      <w:r w:rsidR="00FC403C">
        <w:t>at the time of writing these costs were not available.</w:t>
      </w:r>
    </w:p>
    <w:p w14:paraId="234CC3DB" w14:textId="1D27734F" w:rsidR="00627670" w:rsidRDefault="00627670" w:rsidP="000819BB">
      <w:pPr>
        <w:pStyle w:val="ListParagraph"/>
        <w:numPr>
          <w:ilvl w:val="0"/>
          <w:numId w:val="23"/>
        </w:numPr>
      </w:pPr>
      <w:r>
        <w:t>The cost of transporting the material to the deep burial site is not included.</w:t>
      </w:r>
    </w:p>
    <w:p w14:paraId="06A3E545" w14:textId="49648201" w:rsidR="00E55FF1" w:rsidRPr="001227C5" w:rsidRDefault="0036689B" w:rsidP="001B0008">
      <w:pPr>
        <w:pStyle w:val="ListParagraph"/>
        <w:numPr>
          <w:ilvl w:val="0"/>
          <w:numId w:val="23"/>
        </w:numPr>
      </w:pPr>
      <w:r>
        <w:t>A</w:t>
      </w:r>
      <w:r w:rsidR="001227C5" w:rsidRPr="001227C5">
        <w:t xml:space="preserve">battoirs </w:t>
      </w:r>
      <w:r>
        <w:t xml:space="preserve">lose revenue </w:t>
      </w:r>
      <w:r w:rsidR="001227C5" w:rsidRPr="001227C5">
        <w:t>from the inability t</w:t>
      </w:r>
      <w:r w:rsidR="00E55FF1" w:rsidRPr="001227C5">
        <w:t>o sell SRM to rendering plants</w:t>
      </w:r>
      <w:r w:rsidR="001227C5" w:rsidRPr="001227C5">
        <w:t>.</w:t>
      </w:r>
    </w:p>
    <w:p w14:paraId="672788D7" w14:textId="797F373C" w:rsidR="00CA621B" w:rsidRDefault="00CA621B" w:rsidP="001B0008">
      <w:pPr>
        <w:pStyle w:val="ListParagraph"/>
        <w:numPr>
          <w:ilvl w:val="0"/>
          <w:numId w:val="23"/>
        </w:numPr>
      </w:pPr>
      <w:r w:rsidRPr="001227C5">
        <w:t xml:space="preserve">Prices of inputs and outputs for </w:t>
      </w:r>
      <w:r w:rsidR="002225AF" w:rsidRPr="001227C5">
        <w:t>2023-24</w:t>
      </w:r>
      <w:r w:rsidRPr="001227C5">
        <w:t xml:space="preserve"> are </w:t>
      </w:r>
      <w:r w:rsidR="007F53D6" w:rsidRPr="001227C5">
        <w:t>used</w:t>
      </w:r>
      <w:r w:rsidR="000A3735" w:rsidRPr="001227C5">
        <w:t xml:space="preserve"> </w:t>
      </w:r>
      <w:r w:rsidR="00904EA7" w:rsidRPr="001227C5">
        <w:t>in the analysis.</w:t>
      </w:r>
    </w:p>
    <w:p w14:paraId="771555B3" w14:textId="322C04EB" w:rsidR="00976CFE" w:rsidRDefault="00976CFE" w:rsidP="00976CFE">
      <w:r>
        <w:t>Data and data sources used in calculating the avoided impacts of outcome 2 are given in Table 3.</w:t>
      </w:r>
    </w:p>
    <w:p w14:paraId="1180DB26" w14:textId="0885B9C7" w:rsidR="00486B70" w:rsidRDefault="00486B70" w:rsidP="00486B70">
      <w:pPr>
        <w:pStyle w:val="Heading3"/>
      </w:pPr>
      <w:r>
        <w:t>Avoided outcome 3—High pressure production mandated for Australian rendered meals</w:t>
      </w:r>
    </w:p>
    <w:p w14:paraId="1764031E" w14:textId="77777777" w:rsidR="00486B70" w:rsidRPr="00167668" w:rsidRDefault="00486B70" w:rsidP="00486B70">
      <w:r>
        <w:t xml:space="preserve">Under this outcome the high-pressure processing of rendered meals would be permanently enforced. Rendering facilities would be required to upgrade infrastructure, resulting in increased energy costs for rendering. In addition, there would be increased </w:t>
      </w:r>
      <w:r w:rsidRPr="00167668">
        <w:t>risks to worker safety. Australia avoided a loss in export competitiveness that would have resulted from introducing treatment requirements for rendered goods at time and temperature parameters beyond the capability of most commercial establishments.</w:t>
      </w:r>
    </w:p>
    <w:p w14:paraId="2BE820E2" w14:textId="72D86638" w:rsidR="0042652E" w:rsidRDefault="0042652E" w:rsidP="0042652E">
      <w:r w:rsidRPr="00167668">
        <w:t xml:space="preserve">The calculation of avoided damages under this outcome is undertaken based on the </w:t>
      </w:r>
      <w:r w:rsidR="00B71165" w:rsidRPr="00167668">
        <w:fldChar w:fldCharType="begin"/>
      </w:r>
      <w:r w:rsidR="00B71165" w:rsidRPr="00167668">
        <w:instrText xml:space="preserve">  </w:instrText>
      </w:r>
      <w:r w:rsidR="00B71165" w:rsidRPr="00167668">
        <w:fldChar w:fldCharType="end"/>
      </w:r>
      <w:r w:rsidRPr="00167668">
        <w:t>following assumptions:</w:t>
      </w:r>
    </w:p>
    <w:p w14:paraId="48CE42DE" w14:textId="643779D1" w:rsidR="0042652E" w:rsidRDefault="00C025A0" w:rsidP="00C025A0">
      <w:pPr>
        <w:pStyle w:val="ListParagraph"/>
        <w:numPr>
          <w:ilvl w:val="0"/>
          <w:numId w:val="25"/>
        </w:numPr>
      </w:pPr>
      <w:r>
        <w:t>The costs of upgrading facilities is the same for all facilities</w:t>
      </w:r>
      <w:r w:rsidR="002C6CD4">
        <w:t>.</w:t>
      </w:r>
    </w:p>
    <w:p w14:paraId="2BBDD237" w14:textId="3F4937FE" w:rsidR="00C025A0" w:rsidRDefault="00C025A0" w:rsidP="00C025A0">
      <w:pPr>
        <w:pStyle w:val="ListParagraph"/>
        <w:numPr>
          <w:ilvl w:val="0"/>
          <w:numId w:val="25"/>
        </w:numPr>
      </w:pPr>
      <w:r>
        <w:t xml:space="preserve">The number of </w:t>
      </w:r>
      <w:r w:rsidR="00F9756B">
        <w:t xml:space="preserve">rendering </w:t>
      </w:r>
      <w:r>
        <w:t xml:space="preserve">facilities remains </w:t>
      </w:r>
      <w:r w:rsidR="00AE2C97">
        <w:t>unchanged</w:t>
      </w:r>
      <w:r w:rsidR="002C6CD4">
        <w:t>.</w:t>
      </w:r>
    </w:p>
    <w:p w14:paraId="0EA7DE9A" w14:textId="76F5E8C8" w:rsidR="001327D1" w:rsidRDefault="001327D1" w:rsidP="00C025A0">
      <w:pPr>
        <w:pStyle w:val="ListParagraph"/>
        <w:numPr>
          <w:ilvl w:val="0"/>
          <w:numId w:val="25"/>
        </w:numPr>
      </w:pPr>
      <w:r>
        <w:t xml:space="preserve">Increased energy costs </w:t>
      </w:r>
      <w:r w:rsidR="000D0E00">
        <w:t xml:space="preserve">are unclear, but could be </w:t>
      </w:r>
      <w:r w:rsidR="00184AB4">
        <w:t xml:space="preserve">around </w:t>
      </w:r>
      <w:r w:rsidR="000D0E00">
        <w:t xml:space="preserve">20% depending on </w:t>
      </w:r>
      <w:r w:rsidR="00A04733">
        <w:t>the energy source, but these costs are not</w:t>
      </w:r>
      <w:r>
        <w:t xml:space="preserve"> included in the analysis</w:t>
      </w:r>
      <w:r w:rsidR="002C6CD4">
        <w:t>.</w:t>
      </w:r>
    </w:p>
    <w:p w14:paraId="4EF3722F" w14:textId="52F034DF" w:rsidR="009D2641" w:rsidRDefault="008550E1" w:rsidP="00C025A0">
      <w:pPr>
        <w:pStyle w:val="ListParagraph"/>
        <w:numPr>
          <w:ilvl w:val="0"/>
          <w:numId w:val="25"/>
        </w:numPr>
      </w:pPr>
      <w:r>
        <w:t>It is unclear whether there is increased</w:t>
      </w:r>
      <w:r w:rsidR="009D2641">
        <w:t xml:space="preserve"> risk to workers’ safety</w:t>
      </w:r>
      <w:r>
        <w:t>, and</w:t>
      </w:r>
      <w:r w:rsidR="006020D7">
        <w:t xml:space="preserve"> so </w:t>
      </w:r>
      <w:r w:rsidR="008E474E">
        <w:t>this potential negative impact</w:t>
      </w:r>
      <w:r w:rsidR="00184AB4">
        <w:t xml:space="preserve"> is not</w:t>
      </w:r>
      <w:r w:rsidR="009D2641">
        <w:t xml:space="preserve"> included in the calculations</w:t>
      </w:r>
      <w:r w:rsidR="002C6CD4">
        <w:t>.</w:t>
      </w:r>
    </w:p>
    <w:p w14:paraId="41413AF4" w14:textId="4BEF8ED2" w:rsidR="00A90D33" w:rsidRDefault="00914021" w:rsidP="00914021">
      <w:r>
        <w:t>Data and data sources used in calculating the avoided impacts of outcome 3 are given in Table 3.</w:t>
      </w:r>
    </w:p>
    <w:p w14:paraId="4046F876" w14:textId="77777777" w:rsidR="00A90D33" w:rsidRDefault="00A90D33">
      <w:pPr>
        <w:spacing w:before="0" w:after="0" w:line="240" w:lineRule="auto"/>
        <w:jc w:val="left"/>
      </w:pPr>
      <w:r>
        <w:br w:type="page"/>
      </w:r>
    </w:p>
    <w:p w14:paraId="675C1BFC" w14:textId="7FA1C7E9" w:rsidR="00AE2C97" w:rsidRDefault="009E5A32" w:rsidP="002E5846">
      <w:pPr>
        <w:pStyle w:val="Heading3"/>
      </w:pPr>
      <w:r>
        <w:lastRenderedPageBreak/>
        <w:t>Avoided outcome 4—</w:t>
      </w:r>
      <w:r w:rsidR="00AE2C97">
        <w:t>Dedicated feed lines are mandated for the production of ruminant feed</w:t>
      </w:r>
    </w:p>
    <w:p w14:paraId="71405F7C" w14:textId="744A35A1" w:rsidR="00AE2C97" w:rsidRDefault="00AE2C97" w:rsidP="00AE2C97">
      <w:r>
        <w:t>Under this outcome</w:t>
      </w:r>
      <w:r w:rsidR="009A4A9E">
        <w:t>,</w:t>
      </w:r>
      <w:r w:rsidR="002200FF">
        <w:t xml:space="preserve"> </w:t>
      </w:r>
      <w:r w:rsidR="009A4A9E">
        <w:t>f</w:t>
      </w:r>
      <w:r w:rsidR="009A4A9E" w:rsidRPr="00CD0105">
        <w:t xml:space="preserve">eed mills without dedicated </w:t>
      </w:r>
      <w:r w:rsidR="00C804A9">
        <w:t xml:space="preserve">production </w:t>
      </w:r>
      <w:r w:rsidR="009A4A9E" w:rsidRPr="00CD0105">
        <w:t xml:space="preserve">lines would need to install new </w:t>
      </w:r>
      <w:r w:rsidR="00BA4FFF">
        <w:t>mills</w:t>
      </w:r>
      <w:r w:rsidR="009A4A9E" w:rsidRPr="00CD0105">
        <w:t xml:space="preserve">, </w:t>
      </w:r>
      <w:r w:rsidR="00F443D7">
        <w:t xml:space="preserve">at significant expense, </w:t>
      </w:r>
      <w:r w:rsidR="009A4A9E" w:rsidRPr="00CD0105">
        <w:t>or elect to produce uniquely ruminant or non-ruminant feed.</w:t>
      </w:r>
      <w:r w:rsidR="009A4A9E">
        <w:t xml:space="preserve"> </w:t>
      </w:r>
      <w:r w:rsidR="00734BE9">
        <w:t xml:space="preserve">Additional </w:t>
      </w:r>
      <w:r w:rsidR="009A4A9E" w:rsidRPr="00CD0105">
        <w:t xml:space="preserve">maintenance and </w:t>
      </w:r>
      <w:r w:rsidR="00D64A98" w:rsidRPr="00CD0105">
        <w:t xml:space="preserve">staff costs </w:t>
      </w:r>
      <w:r w:rsidR="009A4A9E">
        <w:t xml:space="preserve">would be accrued </w:t>
      </w:r>
      <w:r w:rsidR="009A4A9E" w:rsidRPr="00CD0105">
        <w:t xml:space="preserve">from running </w:t>
      </w:r>
      <w:r w:rsidR="002C6CD4">
        <w:t>extra</w:t>
      </w:r>
      <w:r w:rsidR="002C6CD4" w:rsidRPr="00CD0105">
        <w:t xml:space="preserve"> </w:t>
      </w:r>
      <w:r w:rsidR="009A4A9E" w:rsidRPr="00CD0105">
        <w:t>production lines</w:t>
      </w:r>
      <w:r w:rsidR="002C6CD4">
        <w:t>,</w:t>
      </w:r>
      <w:r w:rsidR="00F92718">
        <w:t xml:space="preserve"> and additional </w:t>
      </w:r>
      <w:r w:rsidR="00305B40">
        <w:t>silos would be required to store RAM</w:t>
      </w:r>
      <w:r w:rsidR="0080140F">
        <w:t>.</w:t>
      </w:r>
      <w:r w:rsidR="00F92718">
        <w:t xml:space="preserve"> </w:t>
      </w:r>
      <w:r w:rsidR="0080140F">
        <w:t>T</w:t>
      </w:r>
      <w:r w:rsidR="0080140F" w:rsidRPr="0080140F">
        <w:t xml:space="preserve">o avoid the costs of installing new mills, </w:t>
      </w:r>
      <w:r w:rsidR="00AF4E31">
        <w:t xml:space="preserve">a </w:t>
      </w:r>
      <w:r w:rsidR="0080140F" w:rsidRPr="0080140F">
        <w:t>company may specialise in RAM production and offer private label services to non-RAM producers, and vice vers</w:t>
      </w:r>
      <w:r w:rsidR="0080140F">
        <w:t>a.</w:t>
      </w:r>
      <w:r w:rsidR="00177C4B">
        <w:t xml:space="preserve"> It is unclear how widespread this practice would be.</w:t>
      </w:r>
      <w:r w:rsidR="00A601BB">
        <w:t xml:space="preserve"> RAM and non-RAM material would </w:t>
      </w:r>
      <w:r w:rsidR="008E2E29">
        <w:t xml:space="preserve">need to be transported separately, adding additional costs. </w:t>
      </w:r>
    </w:p>
    <w:p w14:paraId="01482F3E" w14:textId="77777777" w:rsidR="009A4A9E" w:rsidRDefault="009A4A9E" w:rsidP="009A4A9E">
      <w:r>
        <w:t>The calculation of avoided damages under this outcome is undertaken based on the following assumptions:</w:t>
      </w:r>
    </w:p>
    <w:p w14:paraId="1F6EE110" w14:textId="1CD74D99" w:rsidR="00420F18" w:rsidRDefault="00420F18" w:rsidP="00420F18">
      <w:pPr>
        <w:pStyle w:val="ListParagraph"/>
        <w:numPr>
          <w:ilvl w:val="0"/>
          <w:numId w:val="26"/>
        </w:numPr>
      </w:pPr>
      <w:r>
        <w:t>The costs of upgrading facilities is the same for all facilities</w:t>
      </w:r>
    </w:p>
    <w:p w14:paraId="2A344894" w14:textId="2683C99A" w:rsidR="00420F18" w:rsidRDefault="00420F18" w:rsidP="00420F18">
      <w:pPr>
        <w:pStyle w:val="ListParagraph"/>
        <w:numPr>
          <w:ilvl w:val="0"/>
          <w:numId w:val="26"/>
        </w:numPr>
      </w:pPr>
      <w:r>
        <w:t xml:space="preserve">The number of </w:t>
      </w:r>
      <w:r w:rsidR="00FA0681">
        <w:t>FeedSafe</w:t>
      </w:r>
      <w:r w:rsidR="00E9385D">
        <w:rPr>
          <w:vertAlign w:val="superscript"/>
        </w:rPr>
        <w:t>®</w:t>
      </w:r>
      <w:r w:rsidR="00FA0681">
        <w:t xml:space="preserve"> certified </w:t>
      </w:r>
      <w:r>
        <w:t xml:space="preserve">facilities </w:t>
      </w:r>
      <w:r w:rsidR="00FA0681">
        <w:t xml:space="preserve">(members of the SFMCA) </w:t>
      </w:r>
      <w:r>
        <w:t>remains unchanged</w:t>
      </w:r>
    </w:p>
    <w:p w14:paraId="11D9D280" w14:textId="5FED3BFF" w:rsidR="00967D6D" w:rsidRDefault="00512469" w:rsidP="00967D6D">
      <w:pPr>
        <w:pStyle w:val="ListParagraph"/>
        <w:numPr>
          <w:ilvl w:val="0"/>
          <w:numId w:val="26"/>
        </w:numPr>
      </w:pPr>
      <w:r>
        <w:t>Ten percent</w:t>
      </w:r>
      <w:r w:rsidR="00967D6D">
        <w:t xml:space="preserve"> of the FeedSafe</w:t>
      </w:r>
      <w:r w:rsidR="00E9385D">
        <w:rPr>
          <w:vertAlign w:val="superscript"/>
        </w:rPr>
        <w:t>®</w:t>
      </w:r>
      <w:r w:rsidR="00967D6D">
        <w:t xml:space="preserve"> certified mills elect to install a </w:t>
      </w:r>
      <w:r w:rsidR="00FA0681">
        <w:t>new line</w:t>
      </w:r>
      <w:r w:rsidR="00967D6D">
        <w:t xml:space="preserve"> </w:t>
      </w:r>
      <w:r w:rsidR="006E52A0">
        <w:t>for</w:t>
      </w:r>
      <w:r w:rsidR="00967D6D">
        <w:t xml:space="preserve"> RAM material</w:t>
      </w:r>
      <w:r w:rsidR="00E62260">
        <w:t xml:space="preserve"> and the same number install an additional silo</w:t>
      </w:r>
      <w:r w:rsidR="008B55D8">
        <w:t xml:space="preserve"> for storage of RAM</w:t>
      </w:r>
    </w:p>
    <w:p w14:paraId="2DF95BBD" w14:textId="7F015A11" w:rsidR="002D5875" w:rsidRDefault="002D5875" w:rsidP="00967D6D">
      <w:pPr>
        <w:pStyle w:val="ListParagraph"/>
        <w:numPr>
          <w:ilvl w:val="0"/>
          <w:numId w:val="26"/>
        </w:numPr>
      </w:pPr>
      <w:r>
        <w:t xml:space="preserve">Maintenance costs of </w:t>
      </w:r>
      <w:r w:rsidR="008B55D8">
        <w:t xml:space="preserve">the </w:t>
      </w:r>
      <w:r>
        <w:t>additional production line</w:t>
      </w:r>
      <w:r w:rsidR="006E52A0">
        <w:t xml:space="preserve"> are not included in the calculations</w:t>
      </w:r>
    </w:p>
    <w:p w14:paraId="20C50BC6" w14:textId="2990B07A" w:rsidR="002D5875" w:rsidRDefault="004241EF" w:rsidP="006E52A0">
      <w:pPr>
        <w:pStyle w:val="ListParagraph"/>
        <w:numPr>
          <w:ilvl w:val="0"/>
          <w:numId w:val="26"/>
        </w:numPr>
      </w:pPr>
      <w:r>
        <w:t>Additional transport costs are not included in calculations.</w:t>
      </w:r>
    </w:p>
    <w:p w14:paraId="258F6DF8" w14:textId="1CC5720F" w:rsidR="00914021" w:rsidRDefault="00914021" w:rsidP="00914021">
      <w:r>
        <w:t xml:space="preserve">Data and data sources used in calculating the avoided impacts of outcome </w:t>
      </w:r>
      <w:r w:rsidR="00E04B20">
        <w:t>4</w:t>
      </w:r>
      <w:r>
        <w:t xml:space="preserve"> are given in Table 3.</w:t>
      </w:r>
    </w:p>
    <w:p w14:paraId="3A55DB73" w14:textId="1CD54DFA" w:rsidR="00EC6225" w:rsidRDefault="00E04B20" w:rsidP="00545B20">
      <w:pPr>
        <w:pStyle w:val="Heading2"/>
      </w:pPr>
      <w:bookmarkStart w:id="77" w:name="_Toc206083796"/>
      <w:r>
        <w:t>Results</w:t>
      </w:r>
      <w:bookmarkEnd w:id="77"/>
    </w:p>
    <w:p w14:paraId="4FB6AEDA" w14:textId="2B785C8C" w:rsidR="00A9214B" w:rsidRPr="00114038" w:rsidRDefault="00A9214B" w:rsidP="002A1A47">
      <w:r w:rsidRPr="00114038">
        <w:t xml:space="preserve">The simple evaluation presented below </w:t>
      </w:r>
      <w:r w:rsidR="00D73150" w:rsidRPr="00114038">
        <w:t>compares</w:t>
      </w:r>
      <w:r w:rsidRPr="00114038">
        <w:t xml:space="preserve"> the </w:t>
      </w:r>
      <w:r w:rsidR="00D73150" w:rsidRPr="00114038">
        <w:t xml:space="preserve">annual cost of </w:t>
      </w:r>
      <w:r w:rsidR="00FA2AA7" w:rsidRPr="00114038">
        <w:t xml:space="preserve">engagement </w:t>
      </w:r>
      <w:r w:rsidR="00D73150" w:rsidRPr="00114038">
        <w:t xml:space="preserve">with the </w:t>
      </w:r>
      <w:r w:rsidR="00114038" w:rsidRPr="00114038">
        <w:t xml:space="preserve">value of the </w:t>
      </w:r>
      <w:r w:rsidR="00FA2AA7" w:rsidRPr="00114038">
        <w:t xml:space="preserve">avoided </w:t>
      </w:r>
      <w:r w:rsidR="00630AC3" w:rsidRPr="00114038">
        <w:t>negative outcomes</w:t>
      </w:r>
      <w:r w:rsidR="004E0051">
        <w:t xml:space="preserve"> for a single year following loss of negli</w:t>
      </w:r>
      <w:r w:rsidR="00F4281F">
        <w:t>gi</w:t>
      </w:r>
      <w:r w:rsidR="004E0051">
        <w:t xml:space="preserve">ble </w:t>
      </w:r>
      <w:r w:rsidR="00F4281F">
        <w:t xml:space="preserve">risk </w:t>
      </w:r>
      <w:r w:rsidR="004E0051">
        <w:t xml:space="preserve">status </w:t>
      </w:r>
      <w:r w:rsidR="00F4281F">
        <w:t xml:space="preserve">for BSE </w:t>
      </w:r>
      <w:r w:rsidR="004E0051">
        <w:t>(Scenario 1)</w:t>
      </w:r>
      <w:r w:rsidR="00F4281F">
        <w:t xml:space="preserve"> and </w:t>
      </w:r>
      <w:r w:rsidR="007924D6">
        <w:t>for all scenarios combined</w:t>
      </w:r>
      <w:r w:rsidR="00505FEE">
        <w:t>.</w:t>
      </w:r>
      <w:r w:rsidR="00D326E7">
        <w:t xml:space="preserve"> </w:t>
      </w:r>
      <w:r w:rsidR="0015033F">
        <w:t xml:space="preserve">While the largest </w:t>
      </w:r>
      <w:r w:rsidR="00C37CF0">
        <w:t>losses</w:t>
      </w:r>
      <w:r w:rsidR="0015033F">
        <w:t xml:space="preserve"> would </w:t>
      </w:r>
      <w:r w:rsidR="00C37CF0">
        <w:t xml:space="preserve">likely </w:t>
      </w:r>
      <w:r w:rsidR="0015033F">
        <w:t xml:space="preserve">accrue in </w:t>
      </w:r>
      <w:r w:rsidR="00C37CF0">
        <w:t>the first</w:t>
      </w:r>
      <w:r w:rsidR="001029E0">
        <w:t xml:space="preserve"> year</w:t>
      </w:r>
      <w:r w:rsidR="00C37CF0">
        <w:t xml:space="preserve"> after implementation of the changed standards</w:t>
      </w:r>
      <w:r w:rsidR="001029E0">
        <w:t xml:space="preserve">, it is important to note that </w:t>
      </w:r>
      <w:r w:rsidR="007A0ADA">
        <w:t>large</w:t>
      </w:r>
      <w:r w:rsidR="00CA1DB6">
        <w:t xml:space="preserve"> </w:t>
      </w:r>
      <w:r w:rsidR="001029E0">
        <w:t xml:space="preserve">negative impacts would continue </w:t>
      </w:r>
      <w:r w:rsidR="008A2999">
        <w:t xml:space="preserve">for many years into the future, particularly as a result of losing </w:t>
      </w:r>
      <w:r w:rsidR="009E512F">
        <w:t>negligible risk status</w:t>
      </w:r>
      <w:r w:rsidR="00700D4D">
        <w:t xml:space="preserve">. </w:t>
      </w:r>
    </w:p>
    <w:p w14:paraId="54986CFA" w14:textId="000E70F5" w:rsidR="005E3C70" w:rsidRPr="00167668" w:rsidRDefault="005E3C70" w:rsidP="005E3C70">
      <w:r>
        <w:t xml:space="preserve">There </w:t>
      </w:r>
      <w:r w:rsidRPr="004D3519">
        <w:t xml:space="preserve">is a massive return on investment in ISS </w:t>
      </w:r>
      <w:r>
        <w:t>in the case of BSE standards</w:t>
      </w:r>
      <w:r w:rsidRPr="004D3519">
        <w:t xml:space="preserve"> (Table 4)</w:t>
      </w:r>
      <w:r>
        <w:t xml:space="preserve">. </w:t>
      </w:r>
      <w:r w:rsidRPr="00167668">
        <w:t>This is unsurprising</w:t>
      </w:r>
      <w:r w:rsidR="001A4EC6" w:rsidRPr="00167668">
        <w:t xml:space="preserve">, </w:t>
      </w:r>
      <w:r w:rsidR="00713157" w:rsidRPr="00167668">
        <w:t xml:space="preserve">considering </w:t>
      </w:r>
      <w:r w:rsidRPr="00167668">
        <w:t xml:space="preserve">the significant value of Australian beef, rendering and feed manufacturing exports. Given the assumptions outlined for calculating losses, </w:t>
      </w:r>
      <w:r w:rsidR="00372A1F" w:rsidRPr="00167668">
        <w:t xml:space="preserve">every dollar invested in ISS </w:t>
      </w:r>
      <w:r w:rsidRPr="00167668">
        <w:t>in 2023-24 effectively returned $</w:t>
      </w:r>
      <w:r w:rsidR="00EE624F" w:rsidRPr="00167668">
        <w:t>2.7</w:t>
      </w:r>
      <w:r w:rsidRPr="00167668">
        <w:t xml:space="preserve"> billion under Scenario 1, and </w:t>
      </w:r>
      <w:r w:rsidR="005025EF" w:rsidRPr="00167668">
        <w:t xml:space="preserve">around </w:t>
      </w:r>
      <w:r w:rsidRPr="00167668">
        <w:t>$</w:t>
      </w:r>
      <w:r w:rsidR="005025EF" w:rsidRPr="00167668">
        <w:t>3.2</w:t>
      </w:r>
      <w:r w:rsidRPr="00167668">
        <w:t xml:space="preserve"> billion when all negative outcomes were combined. These losses are for the single year following the loss of status, and in that respect, they are likely to be an understatement. </w:t>
      </w:r>
    </w:p>
    <w:p w14:paraId="76999CC4" w14:textId="3D178C02" w:rsidR="005E3C70" w:rsidRPr="002646FA" w:rsidRDefault="005E3C70" w:rsidP="005E3C70">
      <w:r w:rsidRPr="00167668">
        <w:t xml:space="preserve">It is important to note that the ROI calculations listed in Table 4 involved making several bold assumptions, including those made </w:t>
      </w:r>
      <w:r w:rsidR="008C686D" w:rsidRPr="00167668">
        <w:t xml:space="preserve">about </w:t>
      </w:r>
      <w:r w:rsidRPr="00167668">
        <w:t xml:space="preserve">the </w:t>
      </w:r>
      <w:r w:rsidR="008C686D" w:rsidRPr="00167668">
        <w:t xml:space="preserve">price and quantity </w:t>
      </w:r>
      <w:r w:rsidRPr="00167668">
        <w:t xml:space="preserve">of </w:t>
      </w:r>
      <w:r w:rsidR="008C686D" w:rsidRPr="00167668">
        <w:t xml:space="preserve">previously </w:t>
      </w:r>
      <w:r w:rsidRPr="00167668">
        <w:t xml:space="preserve">exported product </w:t>
      </w:r>
      <w:r w:rsidR="002646FA" w:rsidRPr="00167668">
        <w:t>consumed</w:t>
      </w:r>
      <w:r w:rsidR="008C686D" w:rsidRPr="00167668">
        <w:t xml:space="preserve"> </w:t>
      </w:r>
      <w:r w:rsidR="002646FA" w:rsidRPr="00167668">
        <w:t>in</w:t>
      </w:r>
      <w:r w:rsidR="008C686D" w:rsidRPr="00167668">
        <w:t xml:space="preserve"> </w:t>
      </w:r>
      <w:r w:rsidRPr="00167668">
        <w:t xml:space="preserve"> the domestic </w:t>
      </w:r>
      <w:r w:rsidR="00D53638" w:rsidRPr="00167668">
        <w:t>market</w:t>
      </w:r>
      <w:r w:rsidRPr="00167668">
        <w:t xml:space="preserve">. </w:t>
      </w:r>
      <w:r w:rsidR="002646FA" w:rsidRPr="00167668">
        <w:t xml:space="preserve">Increased consumption of beef by domestic consumers is likely to have flow-on negative impacts on </w:t>
      </w:r>
      <w:r w:rsidR="002646FA" w:rsidRPr="00167668">
        <w:lastRenderedPageBreak/>
        <w:t xml:space="preserve">consumption of other types of meat such as pork, lamb and chicken, and these flow-on impacts are not included. </w:t>
      </w:r>
      <w:r w:rsidRPr="00167668">
        <w:t>Furthermore, absorption of live cattle exports and rendered products into the domestic market were not considered.</w:t>
      </w:r>
      <w:r w:rsidR="007C2B7A" w:rsidRPr="00167668">
        <w:t xml:space="preserve"> </w:t>
      </w:r>
      <w:r w:rsidR="002646FA" w:rsidRPr="00167668">
        <w:t xml:space="preserve">Estimates of the value of staff time involved in working on BSE issues are likely to be </w:t>
      </w:r>
      <w:r w:rsidR="00A3332F" w:rsidRPr="00167668">
        <w:t>overestimates</w:t>
      </w:r>
      <w:r w:rsidR="002646FA" w:rsidRPr="00167668">
        <w:t xml:space="preserve"> given staff are often working on multiple issues</w:t>
      </w:r>
      <w:r w:rsidR="00777ACA" w:rsidRPr="00167668">
        <w:t>.</w:t>
      </w:r>
    </w:p>
    <w:p w14:paraId="7E200542" w14:textId="68004774" w:rsidR="005E3C70" w:rsidRPr="009A4A9E" w:rsidRDefault="005E3C70" w:rsidP="005E3C70">
      <w:pPr>
        <w:pStyle w:val="Caption"/>
      </w:pPr>
      <w:bookmarkStart w:id="78" w:name="_Toc206083805"/>
      <w:r>
        <w:t xml:space="preserve">Table </w:t>
      </w:r>
      <w:r w:rsidR="00F64BE7">
        <w:fldChar w:fldCharType="begin"/>
      </w:r>
      <w:r w:rsidR="00F64BE7">
        <w:instrText xml:space="preserve"> SEQ Table \* ARABIC </w:instrText>
      </w:r>
      <w:r w:rsidR="00F64BE7">
        <w:fldChar w:fldCharType="separate"/>
      </w:r>
      <w:r w:rsidR="003D357A">
        <w:rPr>
          <w:noProof/>
        </w:rPr>
        <w:t>4</w:t>
      </w:r>
      <w:r w:rsidR="00F64BE7">
        <w:fldChar w:fldCharType="end"/>
      </w:r>
      <w:r>
        <w:t>. Value of ISS in BSE (AUD)</w:t>
      </w:r>
      <w:bookmarkEnd w:id="78"/>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103"/>
        <w:gridCol w:w="1985"/>
      </w:tblGrid>
      <w:tr w:rsidR="005E3C70" w:rsidRPr="00447357" w14:paraId="7C464DC3" w14:textId="77777777" w:rsidTr="00EA58F4">
        <w:tc>
          <w:tcPr>
            <w:tcW w:w="5103" w:type="dxa"/>
            <w:tcBorders>
              <w:top w:val="single" w:sz="12" w:space="0" w:color="auto"/>
              <w:bottom w:val="single" w:sz="6" w:space="0" w:color="auto"/>
            </w:tcBorders>
          </w:tcPr>
          <w:p w14:paraId="2D76B122" w14:textId="77777777" w:rsidR="005E3C70" w:rsidRPr="00447357" w:rsidRDefault="005E3C70" w:rsidP="00EA58F4">
            <w:pPr>
              <w:spacing w:before="60" w:after="60" w:line="240" w:lineRule="auto"/>
              <w:rPr>
                <w:sz w:val="22"/>
                <w:szCs w:val="22"/>
              </w:rPr>
            </w:pPr>
            <w:r w:rsidRPr="00447357">
              <w:rPr>
                <w:sz w:val="22"/>
                <w:szCs w:val="22"/>
              </w:rPr>
              <w:t>Scenario</w:t>
            </w:r>
          </w:p>
        </w:tc>
        <w:tc>
          <w:tcPr>
            <w:tcW w:w="1985" w:type="dxa"/>
            <w:tcBorders>
              <w:top w:val="single" w:sz="12" w:space="0" w:color="auto"/>
              <w:bottom w:val="single" w:sz="6" w:space="0" w:color="auto"/>
            </w:tcBorders>
            <w:vAlign w:val="center"/>
          </w:tcPr>
          <w:p w14:paraId="3D763E71" w14:textId="77777777" w:rsidR="005E3C70" w:rsidRPr="00447357" w:rsidRDefault="005E3C70" w:rsidP="00EA58F4">
            <w:pPr>
              <w:spacing w:before="60" w:after="60" w:line="240" w:lineRule="auto"/>
              <w:jc w:val="left"/>
              <w:rPr>
                <w:sz w:val="22"/>
                <w:szCs w:val="22"/>
              </w:rPr>
            </w:pPr>
            <w:r w:rsidRPr="00447357">
              <w:rPr>
                <w:sz w:val="22"/>
                <w:szCs w:val="22"/>
              </w:rPr>
              <w:t>AUD m</w:t>
            </w:r>
            <w:r>
              <w:rPr>
                <w:sz w:val="22"/>
                <w:szCs w:val="22"/>
              </w:rPr>
              <w:t>^</w:t>
            </w:r>
          </w:p>
        </w:tc>
      </w:tr>
      <w:tr w:rsidR="005E3C70" w:rsidRPr="00447357" w14:paraId="35A512E2" w14:textId="77777777" w:rsidTr="00EA58F4">
        <w:tc>
          <w:tcPr>
            <w:tcW w:w="5103" w:type="dxa"/>
            <w:tcBorders>
              <w:top w:val="single" w:sz="12" w:space="0" w:color="auto"/>
              <w:bottom w:val="single" w:sz="6" w:space="0" w:color="auto"/>
            </w:tcBorders>
          </w:tcPr>
          <w:p w14:paraId="30223471" w14:textId="77777777" w:rsidR="005E3C70" w:rsidRPr="00685B80" w:rsidRDefault="005E3C70" w:rsidP="00EA58F4">
            <w:pPr>
              <w:spacing w:before="60" w:after="60" w:line="240" w:lineRule="auto"/>
              <w:rPr>
                <w:b/>
                <w:bCs/>
                <w:sz w:val="20"/>
                <w:szCs w:val="20"/>
              </w:rPr>
            </w:pPr>
            <w:r w:rsidRPr="00685B80">
              <w:rPr>
                <w:b/>
                <w:bCs/>
                <w:sz w:val="20"/>
                <w:szCs w:val="20"/>
              </w:rPr>
              <w:t>Avoided loss</w:t>
            </w:r>
            <w:r>
              <w:rPr>
                <w:b/>
                <w:bCs/>
                <w:sz w:val="20"/>
                <w:szCs w:val="20"/>
              </w:rPr>
              <w:t>:</w:t>
            </w:r>
          </w:p>
        </w:tc>
        <w:tc>
          <w:tcPr>
            <w:tcW w:w="1985" w:type="dxa"/>
            <w:tcBorders>
              <w:top w:val="single" w:sz="12" w:space="0" w:color="auto"/>
              <w:bottom w:val="single" w:sz="6" w:space="0" w:color="auto"/>
            </w:tcBorders>
            <w:vAlign w:val="center"/>
          </w:tcPr>
          <w:p w14:paraId="2B429D9B" w14:textId="77777777" w:rsidR="005E3C70" w:rsidRPr="00447357" w:rsidRDefault="005E3C70" w:rsidP="00EA58F4">
            <w:pPr>
              <w:spacing w:before="60" w:after="60" w:line="240" w:lineRule="auto"/>
              <w:jc w:val="left"/>
              <w:rPr>
                <w:sz w:val="22"/>
                <w:szCs w:val="22"/>
              </w:rPr>
            </w:pPr>
          </w:p>
        </w:tc>
      </w:tr>
      <w:tr w:rsidR="005E3C70" w:rsidRPr="009D65ED" w14:paraId="6BA79190" w14:textId="77777777" w:rsidTr="00EA58F4">
        <w:tc>
          <w:tcPr>
            <w:tcW w:w="5103" w:type="dxa"/>
            <w:tcBorders>
              <w:top w:val="single" w:sz="6" w:space="0" w:color="BFBFBF" w:themeColor="background1" w:themeShade="BF"/>
              <w:bottom w:val="single" w:sz="6" w:space="0" w:color="BFBFBF" w:themeColor="background1" w:themeShade="BF"/>
            </w:tcBorders>
          </w:tcPr>
          <w:p w14:paraId="18D23E32" w14:textId="77777777" w:rsidR="005E3C70" w:rsidRPr="004A4A5E" w:rsidRDefault="005E3C70" w:rsidP="00EA58F4">
            <w:pPr>
              <w:spacing w:before="40" w:after="40" w:line="240" w:lineRule="auto"/>
              <w:ind w:left="113"/>
              <w:jc w:val="left"/>
              <w:rPr>
                <w:bCs/>
                <w:sz w:val="20"/>
                <w:szCs w:val="20"/>
              </w:rPr>
            </w:pPr>
            <w:r w:rsidRPr="004A4A5E">
              <w:rPr>
                <w:bCs/>
                <w:sz w:val="20"/>
                <w:szCs w:val="20"/>
              </w:rPr>
              <w:t>1. Loss of negligible risk status</w:t>
            </w:r>
          </w:p>
        </w:tc>
        <w:tc>
          <w:tcPr>
            <w:tcW w:w="1985" w:type="dxa"/>
            <w:tcBorders>
              <w:top w:val="single" w:sz="6" w:space="0" w:color="BFBFBF" w:themeColor="background1" w:themeShade="BF"/>
              <w:bottom w:val="single" w:sz="6" w:space="0" w:color="BFBFBF" w:themeColor="background1" w:themeShade="BF"/>
            </w:tcBorders>
            <w:vAlign w:val="center"/>
          </w:tcPr>
          <w:p w14:paraId="54A8D2B0" w14:textId="77777777" w:rsidR="005E3C70" w:rsidRPr="00632337" w:rsidRDefault="005E3C70" w:rsidP="00EA58F4">
            <w:pPr>
              <w:spacing w:before="40" w:after="40" w:line="240" w:lineRule="auto"/>
              <w:jc w:val="left"/>
              <w:rPr>
                <w:sz w:val="20"/>
                <w:szCs w:val="20"/>
              </w:rPr>
            </w:pPr>
            <w:r>
              <w:rPr>
                <w:sz w:val="20"/>
                <w:szCs w:val="20"/>
              </w:rPr>
              <w:t>11</w:t>
            </w:r>
            <w:r w:rsidRPr="00632337">
              <w:rPr>
                <w:sz w:val="20"/>
                <w:szCs w:val="20"/>
              </w:rPr>
              <w:t>,</w:t>
            </w:r>
            <w:r>
              <w:rPr>
                <w:sz w:val="20"/>
                <w:szCs w:val="20"/>
              </w:rPr>
              <w:t>310.03</w:t>
            </w:r>
          </w:p>
        </w:tc>
      </w:tr>
      <w:tr w:rsidR="005E3C70" w:rsidRPr="009D65ED" w14:paraId="1F4AAB8A" w14:textId="77777777" w:rsidTr="00EA58F4">
        <w:tc>
          <w:tcPr>
            <w:tcW w:w="5103" w:type="dxa"/>
            <w:tcBorders>
              <w:top w:val="single" w:sz="6" w:space="0" w:color="BFBFBF" w:themeColor="background1" w:themeShade="BF"/>
              <w:bottom w:val="single" w:sz="6" w:space="0" w:color="BFBFBF" w:themeColor="background1" w:themeShade="BF"/>
            </w:tcBorders>
          </w:tcPr>
          <w:p w14:paraId="1688232C" w14:textId="77777777" w:rsidR="005E3C70" w:rsidRPr="004A4A5E" w:rsidRDefault="005E3C70" w:rsidP="00EA58F4">
            <w:pPr>
              <w:spacing w:before="40" w:after="40" w:line="240" w:lineRule="auto"/>
              <w:ind w:left="113"/>
              <w:jc w:val="left"/>
              <w:rPr>
                <w:bCs/>
                <w:sz w:val="20"/>
                <w:szCs w:val="20"/>
              </w:rPr>
            </w:pPr>
            <w:r w:rsidRPr="004A4A5E">
              <w:rPr>
                <w:bCs/>
                <w:sz w:val="20"/>
                <w:szCs w:val="20"/>
              </w:rPr>
              <w:t>2. SRM removal from human and animal export chains</w:t>
            </w:r>
          </w:p>
        </w:tc>
        <w:tc>
          <w:tcPr>
            <w:tcW w:w="1985" w:type="dxa"/>
            <w:tcBorders>
              <w:top w:val="single" w:sz="6" w:space="0" w:color="BFBFBF" w:themeColor="background1" w:themeShade="BF"/>
              <w:bottom w:val="single" w:sz="6" w:space="0" w:color="BFBFBF" w:themeColor="background1" w:themeShade="BF"/>
            </w:tcBorders>
            <w:vAlign w:val="center"/>
          </w:tcPr>
          <w:p w14:paraId="7FBA0B26" w14:textId="496B07BF" w:rsidR="005E3C70" w:rsidRPr="009D65ED" w:rsidRDefault="00076534" w:rsidP="00EA58F4">
            <w:pPr>
              <w:spacing w:before="40" w:after="40" w:line="240" w:lineRule="auto"/>
              <w:jc w:val="left"/>
              <w:rPr>
                <w:sz w:val="20"/>
                <w:szCs w:val="20"/>
              </w:rPr>
            </w:pPr>
            <w:r>
              <w:rPr>
                <w:sz w:val="20"/>
                <w:szCs w:val="20"/>
              </w:rPr>
              <w:t>19.04</w:t>
            </w:r>
          </w:p>
        </w:tc>
      </w:tr>
      <w:tr w:rsidR="005E3C70" w:rsidRPr="009D65ED" w14:paraId="355C359F" w14:textId="77777777" w:rsidTr="00EA58F4">
        <w:tc>
          <w:tcPr>
            <w:tcW w:w="5103" w:type="dxa"/>
            <w:tcBorders>
              <w:top w:val="single" w:sz="6" w:space="0" w:color="BFBFBF" w:themeColor="background1" w:themeShade="BF"/>
              <w:bottom w:val="single" w:sz="6" w:space="0" w:color="BFBFBF" w:themeColor="background1" w:themeShade="BF"/>
            </w:tcBorders>
          </w:tcPr>
          <w:p w14:paraId="0EA394FE" w14:textId="77777777" w:rsidR="005E3C70" w:rsidRPr="009D65ED" w:rsidRDefault="005E3C70" w:rsidP="00EA58F4">
            <w:pPr>
              <w:spacing w:before="40" w:after="40" w:line="240" w:lineRule="auto"/>
              <w:ind w:left="113"/>
              <w:jc w:val="left"/>
              <w:rPr>
                <w:sz w:val="20"/>
                <w:szCs w:val="20"/>
              </w:rPr>
            </w:pPr>
            <w:r>
              <w:rPr>
                <w:sz w:val="20"/>
                <w:szCs w:val="20"/>
              </w:rPr>
              <w:t>3. High-pressure processing for rendered meals</w:t>
            </w:r>
          </w:p>
        </w:tc>
        <w:tc>
          <w:tcPr>
            <w:tcW w:w="1985" w:type="dxa"/>
            <w:tcBorders>
              <w:top w:val="single" w:sz="6" w:space="0" w:color="BFBFBF" w:themeColor="background1" w:themeShade="BF"/>
              <w:bottom w:val="single" w:sz="6" w:space="0" w:color="BFBFBF" w:themeColor="background1" w:themeShade="BF"/>
            </w:tcBorders>
            <w:vAlign w:val="center"/>
          </w:tcPr>
          <w:p w14:paraId="34978F2B" w14:textId="77777777" w:rsidR="005E3C70" w:rsidRPr="009D65ED" w:rsidRDefault="005E3C70" w:rsidP="00EA58F4">
            <w:pPr>
              <w:spacing w:before="40" w:after="40" w:line="240" w:lineRule="auto"/>
              <w:jc w:val="left"/>
              <w:rPr>
                <w:sz w:val="20"/>
                <w:szCs w:val="20"/>
              </w:rPr>
            </w:pPr>
            <w:r>
              <w:rPr>
                <w:sz w:val="20"/>
                <w:szCs w:val="20"/>
              </w:rPr>
              <w:t>143.50</w:t>
            </w:r>
          </w:p>
        </w:tc>
      </w:tr>
      <w:tr w:rsidR="005E3C70" w:rsidRPr="009D65ED" w14:paraId="6FDBABFA" w14:textId="77777777" w:rsidTr="00EA58F4">
        <w:tc>
          <w:tcPr>
            <w:tcW w:w="5103" w:type="dxa"/>
            <w:tcBorders>
              <w:top w:val="single" w:sz="6" w:space="0" w:color="BFBFBF" w:themeColor="background1" w:themeShade="BF"/>
              <w:bottom w:val="single" w:sz="4" w:space="0" w:color="auto"/>
            </w:tcBorders>
          </w:tcPr>
          <w:p w14:paraId="2D81D5CD" w14:textId="77777777" w:rsidR="005E3C70" w:rsidRDefault="005E3C70" w:rsidP="00EA58F4">
            <w:pPr>
              <w:spacing w:before="40" w:after="40" w:line="240" w:lineRule="auto"/>
              <w:ind w:left="113"/>
              <w:jc w:val="left"/>
              <w:rPr>
                <w:sz w:val="20"/>
                <w:szCs w:val="20"/>
              </w:rPr>
            </w:pPr>
            <w:r>
              <w:rPr>
                <w:sz w:val="20"/>
                <w:szCs w:val="20"/>
              </w:rPr>
              <w:t>4. Dedicated feed lines for production of ruminant feed</w:t>
            </w:r>
          </w:p>
        </w:tc>
        <w:tc>
          <w:tcPr>
            <w:tcW w:w="1985" w:type="dxa"/>
            <w:tcBorders>
              <w:top w:val="single" w:sz="6" w:space="0" w:color="BFBFBF" w:themeColor="background1" w:themeShade="BF"/>
              <w:bottom w:val="single" w:sz="4" w:space="0" w:color="auto"/>
            </w:tcBorders>
            <w:vAlign w:val="center"/>
          </w:tcPr>
          <w:p w14:paraId="68F3E66C" w14:textId="77777777" w:rsidR="005E3C70" w:rsidRPr="009D65ED" w:rsidRDefault="005E3C70" w:rsidP="00EA58F4">
            <w:pPr>
              <w:spacing w:before="40" w:after="40" w:line="240" w:lineRule="auto"/>
              <w:jc w:val="left"/>
              <w:rPr>
                <w:sz w:val="20"/>
                <w:szCs w:val="20"/>
              </w:rPr>
            </w:pPr>
            <w:r>
              <w:rPr>
                <w:sz w:val="20"/>
                <w:szCs w:val="20"/>
              </w:rPr>
              <w:t>1503.86</w:t>
            </w:r>
          </w:p>
        </w:tc>
      </w:tr>
      <w:tr w:rsidR="005E3C70" w:rsidRPr="00AE649B" w14:paraId="14554F6B" w14:textId="77777777" w:rsidTr="00EA58F4">
        <w:tc>
          <w:tcPr>
            <w:tcW w:w="5103" w:type="dxa"/>
            <w:tcBorders>
              <w:top w:val="single" w:sz="4" w:space="0" w:color="auto"/>
              <w:bottom w:val="single" w:sz="4" w:space="0" w:color="auto"/>
            </w:tcBorders>
          </w:tcPr>
          <w:p w14:paraId="5961817E" w14:textId="77777777" w:rsidR="005E3C70" w:rsidRPr="00AE649B" w:rsidRDefault="005E3C70" w:rsidP="00EA58F4">
            <w:pPr>
              <w:spacing w:before="40" w:after="40" w:line="240" w:lineRule="auto"/>
              <w:ind w:left="34"/>
              <w:jc w:val="left"/>
              <w:rPr>
                <w:sz w:val="20"/>
                <w:szCs w:val="20"/>
              </w:rPr>
            </w:pPr>
            <w:r w:rsidRPr="00AE649B">
              <w:rPr>
                <w:sz w:val="20"/>
                <w:szCs w:val="20"/>
              </w:rPr>
              <w:t>Combined value of avoided outcomes (Yr1)</w:t>
            </w:r>
          </w:p>
        </w:tc>
        <w:tc>
          <w:tcPr>
            <w:tcW w:w="1985" w:type="dxa"/>
            <w:tcBorders>
              <w:top w:val="single" w:sz="4" w:space="0" w:color="auto"/>
              <w:bottom w:val="single" w:sz="4" w:space="0" w:color="auto"/>
            </w:tcBorders>
            <w:vAlign w:val="center"/>
          </w:tcPr>
          <w:p w14:paraId="0CB1995D" w14:textId="298F0B92" w:rsidR="0014721C" w:rsidRPr="0014721C" w:rsidRDefault="0047720B" w:rsidP="00EA58F4">
            <w:pPr>
              <w:spacing w:before="40" w:after="40" w:line="240" w:lineRule="auto"/>
              <w:jc w:val="left"/>
              <w:rPr>
                <w:sz w:val="20"/>
                <w:szCs w:val="20"/>
              </w:rPr>
            </w:pPr>
            <w:r>
              <w:rPr>
                <w:sz w:val="20"/>
                <w:szCs w:val="20"/>
              </w:rPr>
              <w:t>12</w:t>
            </w:r>
            <w:r w:rsidR="0014721C">
              <w:rPr>
                <w:sz w:val="20"/>
                <w:szCs w:val="20"/>
              </w:rPr>
              <w:t>,9</w:t>
            </w:r>
            <w:r w:rsidR="007C1F77">
              <w:rPr>
                <w:sz w:val="20"/>
                <w:szCs w:val="20"/>
              </w:rPr>
              <w:t>76</w:t>
            </w:r>
            <w:r w:rsidR="0014721C">
              <w:rPr>
                <w:sz w:val="20"/>
                <w:szCs w:val="20"/>
              </w:rPr>
              <w:t>.</w:t>
            </w:r>
            <w:r w:rsidR="007C1F77">
              <w:rPr>
                <w:sz w:val="20"/>
                <w:szCs w:val="20"/>
              </w:rPr>
              <w:t>43</w:t>
            </w:r>
          </w:p>
        </w:tc>
      </w:tr>
      <w:tr w:rsidR="005E3C70" w:rsidRPr="00167668" w14:paraId="4E217B90" w14:textId="77777777" w:rsidTr="00EA58F4">
        <w:tc>
          <w:tcPr>
            <w:tcW w:w="5103" w:type="dxa"/>
            <w:tcBorders>
              <w:top w:val="single" w:sz="4" w:space="0" w:color="auto"/>
              <w:bottom w:val="single" w:sz="4" w:space="0" w:color="auto"/>
            </w:tcBorders>
          </w:tcPr>
          <w:p w14:paraId="27D46C0D" w14:textId="77777777" w:rsidR="005E3C70" w:rsidRPr="00167668" w:rsidRDefault="005E3C70" w:rsidP="00EA58F4">
            <w:pPr>
              <w:spacing w:before="60" w:after="60" w:line="240" w:lineRule="auto"/>
              <w:rPr>
                <w:b/>
                <w:bCs/>
                <w:sz w:val="20"/>
                <w:szCs w:val="20"/>
              </w:rPr>
            </w:pPr>
            <w:r w:rsidRPr="00167668">
              <w:rPr>
                <w:b/>
                <w:bCs/>
                <w:sz w:val="20"/>
                <w:szCs w:val="20"/>
              </w:rPr>
              <w:t>Annual Cost of ISS:</w:t>
            </w:r>
          </w:p>
        </w:tc>
        <w:tc>
          <w:tcPr>
            <w:tcW w:w="1985" w:type="dxa"/>
            <w:tcBorders>
              <w:top w:val="single" w:sz="4" w:space="0" w:color="auto"/>
              <w:bottom w:val="single" w:sz="4" w:space="0" w:color="auto"/>
            </w:tcBorders>
            <w:vAlign w:val="center"/>
          </w:tcPr>
          <w:p w14:paraId="1B4200B2" w14:textId="2FB12E7F" w:rsidR="005E3C70" w:rsidRPr="00167668" w:rsidRDefault="00C87CD6" w:rsidP="00EA58F4">
            <w:pPr>
              <w:spacing w:before="40" w:after="40" w:line="240" w:lineRule="auto"/>
              <w:jc w:val="left"/>
              <w:rPr>
                <w:sz w:val="20"/>
                <w:szCs w:val="20"/>
              </w:rPr>
            </w:pPr>
            <w:r w:rsidRPr="00167668">
              <w:rPr>
                <w:sz w:val="20"/>
                <w:szCs w:val="20"/>
              </w:rPr>
              <w:t>4</w:t>
            </w:r>
            <w:r w:rsidR="005E3C70" w:rsidRPr="00167668">
              <w:rPr>
                <w:sz w:val="20"/>
                <w:szCs w:val="20"/>
              </w:rPr>
              <w:t>.</w:t>
            </w:r>
            <w:r w:rsidR="002F00CC" w:rsidRPr="00167668">
              <w:rPr>
                <w:sz w:val="20"/>
                <w:szCs w:val="20"/>
              </w:rPr>
              <w:t>1</w:t>
            </w:r>
            <w:r w:rsidRPr="00167668">
              <w:rPr>
                <w:sz w:val="20"/>
                <w:szCs w:val="20"/>
              </w:rPr>
              <w:t>2</w:t>
            </w:r>
          </w:p>
        </w:tc>
      </w:tr>
      <w:tr w:rsidR="005E3C70" w:rsidRPr="00167668" w14:paraId="14B6E698" w14:textId="77777777" w:rsidTr="00EA58F4">
        <w:tc>
          <w:tcPr>
            <w:tcW w:w="5103" w:type="dxa"/>
            <w:tcBorders>
              <w:top w:val="single" w:sz="4" w:space="0" w:color="auto"/>
              <w:bottom w:val="single" w:sz="4" w:space="0" w:color="auto"/>
            </w:tcBorders>
          </w:tcPr>
          <w:p w14:paraId="758E276A" w14:textId="77777777" w:rsidR="005E3C70" w:rsidRPr="00167668" w:rsidRDefault="005E3C70" w:rsidP="00EA58F4">
            <w:pPr>
              <w:spacing w:before="60" w:after="60" w:line="240" w:lineRule="auto"/>
              <w:rPr>
                <w:b/>
                <w:bCs/>
                <w:sz w:val="20"/>
                <w:szCs w:val="20"/>
              </w:rPr>
            </w:pPr>
            <w:r w:rsidRPr="00167668">
              <w:rPr>
                <w:b/>
                <w:bCs/>
                <w:sz w:val="20"/>
                <w:szCs w:val="20"/>
              </w:rPr>
              <w:t>ROI Scenario 1</w:t>
            </w:r>
          </w:p>
        </w:tc>
        <w:tc>
          <w:tcPr>
            <w:tcW w:w="1985" w:type="dxa"/>
            <w:tcBorders>
              <w:top w:val="single" w:sz="4" w:space="0" w:color="auto"/>
              <w:bottom w:val="single" w:sz="4" w:space="0" w:color="auto"/>
            </w:tcBorders>
            <w:vAlign w:val="center"/>
          </w:tcPr>
          <w:p w14:paraId="698B011F" w14:textId="1C4B5A24" w:rsidR="005E3C70" w:rsidRPr="00167668" w:rsidRDefault="00D87D69" w:rsidP="00EA58F4">
            <w:pPr>
              <w:spacing w:before="0" w:after="0" w:line="240" w:lineRule="auto"/>
              <w:jc w:val="left"/>
              <w:rPr>
                <w:color w:val="000000"/>
                <w:lang w:eastAsia="en-AU"/>
              </w:rPr>
            </w:pPr>
            <w:r w:rsidRPr="00167668">
              <w:rPr>
                <w:sz w:val="20"/>
                <w:szCs w:val="20"/>
              </w:rPr>
              <w:t>2,747</w:t>
            </w:r>
            <w:r w:rsidR="005E3C70" w:rsidRPr="00167668">
              <w:rPr>
                <w:sz w:val="20"/>
                <w:szCs w:val="20"/>
              </w:rPr>
              <w:t>:1</w:t>
            </w:r>
          </w:p>
        </w:tc>
      </w:tr>
      <w:tr w:rsidR="005E3C70" w:rsidRPr="00AE649B" w14:paraId="08DDB480" w14:textId="77777777" w:rsidTr="00EA58F4">
        <w:tc>
          <w:tcPr>
            <w:tcW w:w="5103" w:type="dxa"/>
            <w:tcBorders>
              <w:top w:val="single" w:sz="4" w:space="0" w:color="auto"/>
              <w:bottom w:val="single" w:sz="12" w:space="0" w:color="auto"/>
            </w:tcBorders>
          </w:tcPr>
          <w:p w14:paraId="47B91103" w14:textId="77777777" w:rsidR="005E3C70" w:rsidRPr="00167668" w:rsidRDefault="005E3C70" w:rsidP="00EA58F4">
            <w:pPr>
              <w:spacing w:before="60" w:after="60" w:line="240" w:lineRule="auto"/>
              <w:rPr>
                <w:b/>
                <w:bCs/>
                <w:sz w:val="20"/>
                <w:szCs w:val="20"/>
              </w:rPr>
            </w:pPr>
            <w:r w:rsidRPr="00167668">
              <w:rPr>
                <w:b/>
                <w:bCs/>
                <w:sz w:val="20"/>
                <w:szCs w:val="20"/>
              </w:rPr>
              <w:t>ROI Combined scenarios</w:t>
            </w:r>
          </w:p>
        </w:tc>
        <w:tc>
          <w:tcPr>
            <w:tcW w:w="1985" w:type="dxa"/>
            <w:tcBorders>
              <w:top w:val="single" w:sz="4" w:space="0" w:color="auto"/>
              <w:bottom w:val="single" w:sz="12" w:space="0" w:color="auto"/>
            </w:tcBorders>
            <w:vAlign w:val="center"/>
          </w:tcPr>
          <w:p w14:paraId="21CE77FC" w14:textId="56062C5A" w:rsidR="005E3C70" w:rsidRPr="00167668" w:rsidRDefault="005E3C70" w:rsidP="00EA58F4">
            <w:pPr>
              <w:spacing w:before="0" w:after="0" w:line="240" w:lineRule="auto"/>
              <w:jc w:val="left"/>
              <w:rPr>
                <w:sz w:val="20"/>
                <w:szCs w:val="20"/>
              </w:rPr>
            </w:pPr>
            <w:r w:rsidRPr="00167668">
              <w:rPr>
                <w:sz w:val="20"/>
                <w:szCs w:val="20"/>
              </w:rPr>
              <w:t>3</w:t>
            </w:r>
            <w:r w:rsidR="0014721C" w:rsidRPr="00167668">
              <w:rPr>
                <w:sz w:val="20"/>
                <w:szCs w:val="20"/>
              </w:rPr>
              <w:t>,</w:t>
            </w:r>
            <w:r w:rsidR="001B3115" w:rsidRPr="00167668">
              <w:rPr>
                <w:sz w:val="20"/>
                <w:szCs w:val="20"/>
              </w:rPr>
              <w:t>152</w:t>
            </w:r>
            <w:r w:rsidRPr="00167668">
              <w:rPr>
                <w:sz w:val="20"/>
                <w:szCs w:val="20"/>
              </w:rPr>
              <w:t>:1</w:t>
            </w:r>
          </w:p>
        </w:tc>
      </w:tr>
    </w:tbl>
    <w:p w14:paraId="3C623D96" w14:textId="77777777" w:rsidR="005E3C70" w:rsidRPr="008D2255" w:rsidRDefault="005E3C70" w:rsidP="005E3C70">
      <w:pPr>
        <w:spacing w:before="0" w:line="240" w:lineRule="auto"/>
        <w:ind w:right="1224"/>
        <w:jc w:val="left"/>
        <w:rPr>
          <w:sz w:val="18"/>
          <w:szCs w:val="18"/>
        </w:rPr>
      </w:pPr>
      <w:r w:rsidRPr="008D2255">
        <w:rPr>
          <w:b/>
          <w:bCs/>
          <w:sz w:val="18"/>
          <w:szCs w:val="18"/>
        </w:rPr>
        <w:t>^</w:t>
      </w:r>
      <w:r w:rsidRPr="008D2255">
        <w:rPr>
          <w:sz w:val="18"/>
          <w:szCs w:val="18"/>
        </w:rPr>
        <w:t xml:space="preserve"> All values have been adjusted to real </w:t>
      </w:r>
      <w:r>
        <w:rPr>
          <w:sz w:val="18"/>
          <w:szCs w:val="18"/>
        </w:rPr>
        <w:t>2023-</w:t>
      </w:r>
      <w:r w:rsidRPr="008D2255">
        <w:rPr>
          <w:sz w:val="18"/>
          <w:szCs w:val="18"/>
        </w:rPr>
        <w:t xml:space="preserve">2024 </w:t>
      </w:r>
      <w:r>
        <w:rPr>
          <w:sz w:val="18"/>
          <w:szCs w:val="18"/>
        </w:rPr>
        <w:t>AUD</w:t>
      </w:r>
      <w:r w:rsidRPr="008D2255">
        <w:rPr>
          <w:sz w:val="18"/>
          <w:szCs w:val="18"/>
        </w:rPr>
        <w:t xml:space="preserve"> using CPI-based inflation indices derived from ABS annual inflation rates (2019–2024)</w:t>
      </w:r>
      <w:r>
        <w:rPr>
          <w:sz w:val="18"/>
          <w:szCs w:val="18"/>
        </w:rPr>
        <w:t xml:space="preserve"> </w:t>
      </w:r>
      <w:hyperlink r:id="rId35" w:history="1">
        <w:r w:rsidRPr="007C26B7">
          <w:rPr>
            <w:rStyle w:val="Hyperlink"/>
            <w:sz w:val="18"/>
            <w:szCs w:val="18"/>
          </w:rPr>
          <w:t>https://www.abs.gov.au/statistics/economy/price-indexes-and-inflation/consumer-price-index-australia</w:t>
        </w:r>
      </w:hyperlink>
      <w:r>
        <w:rPr>
          <w:sz w:val="18"/>
          <w:szCs w:val="18"/>
        </w:rPr>
        <w:t xml:space="preserve"> </w:t>
      </w:r>
    </w:p>
    <w:p w14:paraId="249B2EF5" w14:textId="77777777" w:rsidR="00512469" w:rsidRPr="00000CB3" w:rsidRDefault="00512469" w:rsidP="00000CB3">
      <w:pPr>
        <w:spacing w:before="0" w:line="240" w:lineRule="auto"/>
        <w:rPr>
          <w:sz w:val="20"/>
          <w:szCs w:val="20"/>
        </w:rPr>
      </w:pPr>
    </w:p>
    <w:p w14:paraId="60DBE475" w14:textId="77777777" w:rsidR="00644AFC" w:rsidRDefault="00644AFC" w:rsidP="009A4A9E">
      <w:pPr>
        <w:sectPr w:rsidR="00644AFC" w:rsidSect="00FB6965">
          <w:type w:val="oddPage"/>
          <w:pgSz w:w="11906" w:h="16838"/>
          <w:pgMar w:top="1440" w:right="1797" w:bottom="1440" w:left="1797" w:header="720" w:footer="720" w:gutter="0"/>
          <w:cols w:space="720"/>
          <w:docGrid w:linePitch="326"/>
        </w:sectPr>
      </w:pPr>
    </w:p>
    <w:p w14:paraId="6937E117" w14:textId="60AB98E0" w:rsidR="00846D0C" w:rsidRDefault="00CE5907" w:rsidP="000024FA">
      <w:pPr>
        <w:pStyle w:val="Heading1"/>
      </w:pPr>
      <w:bookmarkStart w:id="79" w:name="_Toc184311759"/>
      <w:bookmarkStart w:id="80" w:name="_Toc206083797"/>
      <w:r w:rsidRPr="004E35D7">
        <w:lastRenderedPageBreak/>
        <w:t>Conclusion and recommendations</w:t>
      </w:r>
      <w:bookmarkEnd w:id="79"/>
      <w:bookmarkEnd w:id="80"/>
      <w:r w:rsidRPr="004E35D7">
        <w:t xml:space="preserve"> </w:t>
      </w:r>
    </w:p>
    <w:p w14:paraId="0903A03F" w14:textId="421D2252" w:rsidR="00413B9C" w:rsidRPr="00167668" w:rsidRDefault="00171EA0" w:rsidP="00413B9C">
      <w:pPr>
        <w:spacing w:before="200"/>
      </w:pPr>
      <w:r w:rsidRPr="00903E50">
        <w:t xml:space="preserve">Engagement in ISS </w:t>
      </w:r>
      <w:r>
        <w:t xml:space="preserve">by the department </w:t>
      </w:r>
      <w:r w:rsidRPr="00903E50">
        <w:t xml:space="preserve">is a critical component of Australia’s biosecurity </w:t>
      </w:r>
      <w:r w:rsidRPr="00167668">
        <w:t xml:space="preserve">system. </w:t>
      </w:r>
      <w:r w:rsidR="004B3A7B" w:rsidRPr="00167668">
        <w:t>Australia</w:t>
      </w:r>
      <w:r w:rsidR="00CC552E" w:rsidRPr="00167668">
        <w:t xml:space="preserve"> currently spends around AUD </w:t>
      </w:r>
      <w:r w:rsidR="00416FC2" w:rsidRPr="00167668">
        <w:t>4.1</w:t>
      </w:r>
      <w:r w:rsidR="00CC552E" w:rsidRPr="00167668">
        <w:t xml:space="preserve"> million each year on engagement with WOAH</w:t>
      </w:r>
      <w:r w:rsidR="0092621E" w:rsidRPr="00167668">
        <w:t xml:space="preserve">, of which AUD </w:t>
      </w:r>
      <w:r w:rsidR="00A24B65" w:rsidRPr="00167668">
        <w:t>3.1</w:t>
      </w:r>
      <w:r w:rsidR="0092621E" w:rsidRPr="00167668">
        <w:t xml:space="preserve"> </w:t>
      </w:r>
      <w:r w:rsidR="0032709D" w:rsidRPr="00167668">
        <w:t xml:space="preserve">million </w:t>
      </w:r>
      <w:r w:rsidR="0092621E" w:rsidRPr="00167668">
        <w:t xml:space="preserve">is </w:t>
      </w:r>
      <w:r w:rsidR="00002290" w:rsidRPr="00167668">
        <w:t xml:space="preserve">in the form of </w:t>
      </w:r>
      <w:r w:rsidR="0092621E" w:rsidRPr="00167668">
        <w:t>voluntary contribution</w:t>
      </w:r>
      <w:r w:rsidR="00002290" w:rsidRPr="00167668">
        <w:t>s</w:t>
      </w:r>
      <w:r w:rsidRPr="00167668">
        <w:t xml:space="preserve">. The value of this engagement is not always obvious, particularly in the </w:t>
      </w:r>
      <w:r w:rsidR="007D2EB5" w:rsidRPr="00167668">
        <w:t>are</w:t>
      </w:r>
      <w:r w:rsidR="00671F5F" w:rsidRPr="00167668">
        <w:t>a</w:t>
      </w:r>
      <w:r w:rsidR="007D2EB5" w:rsidRPr="00167668">
        <w:t xml:space="preserve"> of </w:t>
      </w:r>
      <w:r w:rsidRPr="00167668">
        <w:t>biosecurity and disease prevention, where the effects of decisions made upstream may not be apparent to producers and stakeholders. CEBRA Project 23B explored the value of the investment in ISS using recent engagement in WOAH’s BSE standards revision</w:t>
      </w:r>
      <w:r w:rsidR="00FD1BE7" w:rsidRPr="00167668">
        <w:t xml:space="preserve"> as a case study</w:t>
      </w:r>
      <w:r w:rsidRPr="00167668">
        <w:t xml:space="preserve">. </w:t>
      </w:r>
      <w:r w:rsidR="00413B9C" w:rsidRPr="00167668">
        <w:t xml:space="preserve">We acknowledge that the BSE case study provides a very unique and critical situation. Other scenarios are unlikely to have potential for impact as large as those reported here. </w:t>
      </w:r>
    </w:p>
    <w:p w14:paraId="49C73409" w14:textId="15273F28" w:rsidR="00233F89" w:rsidRDefault="00171EA0" w:rsidP="00890080">
      <w:r w:rsidRPr="00167668">
        <w:t xml:space="preserve">During the </w:t>
      </w:r>
      <w:r w:rsidRPr="00167668">
        <w:rPr>
          <w:iCs/>
        </w:rPr>
        <w:t xml:space="preserve">2018-2023 BSE standard </w:t>
      </w:r>
      <w:r w:rsidRPr="00167668">
        <w:t xml:space="preserve">revision process </w:t>
      </w:r>
      <w:r w:rsidRPr="00167668">
        <w:rPr>
          <w:iCs/>
        </w:rPr>
        <w:t xml:space="preserve">there was real potential for loss of Australia’s official risk status of ‘negligible’, putting more than AUD 16 billion of export income </w:t>
      </w:r>
      <w:r w:rsidR="0090441A" w:rsidRPr="00167668">
        <w:rPr>
          <w:iCs/>
        </w:rPr>
        <w:t xml:space="preserve">per year </w:t>
      </w:r>
      <w:r w:rsidRPr="00167668">
        <w:rPr>
          <w:iCs/>
        </w:rPr>
        <w:t xml:space="preserve">at risk. </w:t>
      </w:r>
      <w:r w:rsidR="009728CE" w:rsidRPr="00167668">
        <w:t>The Australian government’s funding of its engagement in WOAH enabled its scientific positions and those of other countries to be robustly represented in the development of WOAH’s BSE standards</w:t>
      </w:r>
      <w:r w:rsidRPr="00167668">
        <w:t xml:space="preserve">. </w:t>
      </w:r>
      <w:r w:rsidRPr="00167668">
        <w:rPr>
          <w:rFonts w:eastAsia="Calibri"/>
        </w:rPr>
        <w:t>Australia ultimately maintained its official</w:t>
      </w:r>
      <w:r w:rsidR="00101BC7" w:rsidRPr="00167668">
        <w:rPr>
          <w:rFonts w:eastAsia="Calibri"/>
        </w:rPr>
        <w:t xml:space="preserve"> negligible</w:t>
      </w:r>
      <w:r w:rsidRPr="00167668">
        <w:rPr>
          <w:rFonts w:eastAsia="Calibri"/>
        </w:rPr>
        <w:t xml:space="preserve"> risk status.</w:t>
      </w:r>
      <w:r w:rsidR="00890080" w:rsidRPr="00167668">
        <w:t xml:space="preserve"> The alternative </w:t>
      </w:r>
      <w:r w:rsidR="00233F89" w:rsidRPr="00167668">
        <w:t xml:space="preserve">would have had a </w:t>
      </w:r>
      <w:r w:rsidR="000857BC">
        <w:t>significant</w:t>
      </w:r>
      <w:r w:rsidR="00F745BF" w:rsidRPr="00167668">
        <w:t xml:space="preserve"> </w:t>
      </w:r>
      <w:r w:rsidR="00233F89" w:rsidRPr="00167668">
        <w:t>impact on Australia’s meat and rendering industries, both in terms of production</w:t>
      </w:r>
      <w:r w:rsidR="00233F89">
        <w:t xml:space="preserve"> practices and access to markets. </w:t>
      </w:r>
    </w:p>
    <w:p w14:paraId="06F8DF87" w14:textId="77BFE738" w:rsidR="00417D7E" w:rsidRDefault="00201E5E" w:rsidP="005374FA">
      <w:r w:rsidRPr="00201E5E">
        <w:t xml:space="preserve">The damage avoided is conservatively estimated to be in the billions of </w:t>
      </w:r>
      <w:r w:rsidR="00B05A31" w:rsidRPr="00201E5E">
        <w:t>dollars and</w:t>
      </w:r>
      <w:r w:rsidR="00367514">
        <w:t xml:space="preserve"> </w:t>
      </w:r>
      <w:r w:rsidRPr="00201E5E">
        <w:t>depend</w:t>
      </w:r>
      <w:r w:rsidR="00E12CBA">
        <w:t>s</w:t>
      </w:r>
      <w:r w:rsidRPr="00201E5E">
        <w:t xml:space="preserve"> on how much of the product could be absorbed by the domestic market and </w:t>
      </w:r>
      <w:r w:rsidR="00BA7D04">
        <w:t xml:space="preserve">how quickly export markets </w:t>
      </w:r>
      <w:r w:rsidR="00DD0368">
        <w:t>are</w:t>
      </w:r>
      <w:r w:rsidR="00BA7D04">
        <w:t xml:space="preserve"> regained. Modelling of the latter was not undertaken, and the analysis described in this report only details losses in the first year</w:t>
      </w:r>
      <w:r w:rsidR="00367514">
        <w:t xml:space="preserve"> after the </w:t>
      </w:r>
      <w:r w:rsidR="00DD0368">
        <w:t>change in s</w:t>
      </w:r>
      <w:r w:rsidR="00551A4A">
        <w:t>tandard.</w:t>
      </w:r>
      <w:r w:rsidR="00367514">
        <w:t xml:space="preserve"> </w:t>
      </w:r>
    </w:p>
    <w:p w14:paraId="7AA73C27" w14:textId="671E4DAE" w:rsidR="00E52333" w:rsidRDefault="00E52333" w:rsidP="00545B20">
      <w:pPr>
        <w:pStyle w:val="Heading2"/>
      </w:pPr>
      <w:bookmarkStart w:id="81" w:name="_Toc206083798"/>
      <w:bookmarkStart w:id="82" w:name="_Toc184311760"/>
      <w:r>
        <w:t xml:space="preserve">Key </w:t>
      </w:r>
      <w:r w:rsidR="00104F85">
        <w:t>findings</w:t>
      </w:r>
      <w:bookmarkEnd w:id="81"/>
    </w:p>
    <w:bookmarkEnd w:id="82"/>
    <w:p w14:paraId="5CB1B31C" w14:textId="21323EF1" w:rsidR="005A790E" w:rsidRDefault="00A81703" w:rsidP="00F62CB9">
      <w:pPr>
        <w:pStyle w:val="ListParagraph"/>
        <w:numPr>
          <w:ilvl w:val="0"/>
          <w:numId w:val="46"/>
        </w:numPr>
        <w:ind w:left="426" w:hanging="426"/>
        <w:rPr>
          <w:b/>
          <w:bCs/>
        </w:rPr>
      </w:pPr>
      <w:r w:rsidRPr="00BA51F5">
        <w:rPr>
          <w:b/>
          <w:bCs/>
        </w:rPr>
        <w:t xml:space="preserve">WOAH’s democratic processes </w:t>
      </w:r>
      <w:r>
        <w:rPr>
          <w:b/>
          <w:bCs/>
        </w:rPr>
        <w:t>are</w:t>
      </w:r>
      <w:r w:rsidRPr="00BA51F5">
        <w:rPr>
          <w:b/>
          <w:bCs/>
        </w:rPr>
        <w:t xml:space="preserve"> effective in development </w:t>
      </w:r>
      <w:r>
        <w:rPr>
          <w:b/>
          <w:bCs/>
        </w:rPr>
        <w:t xml:space="preserve">of </w:t>
      </w:r>
      <w:r w:rsidRPr="00BA51F5">
        <w:rPr>
          <w:b/>
          <w:bCs/>
        </w:rPr>
        <w:t>science-based standards to reduce sanitary risks while minimising undue barrier</w:t>
      </w:r>
      <w:r>
        <w:rPr>
          <w:b/>
          <w:bCs/>
        </w:rPr>
        <w:t>s</w:t>
      </w:r>
      <w:r w:rsidRPr="00BA51F5">
        <w:rPr>
          <w:b/>
          <w:bCs/>
        </w:rPr>
        <w:t xml:space="preserve"> to trade.</w:t>
      </w:r>
    </w:p>
    <w:p w14:paraId="2FE9E4B8" w14:textId="77777777" w:rsidR="009E6616" w:rsidRPr="00D02F02" w:rsidRDefault="009E6616" w:rsidP="00310129">
      <w:r>
        <w:t xml:space="preserve">WOAH’s various Member-led mechanisms, including repeated consultation on standards prior to being presented for adoption, regional fora, and the General Session, allows all Members to represent their perspectives based on available science and knowledge of diverse production systems. Despite divergent interpretations of the scientific evidence, </w:t>
      </w:r>
      <w:r w:rsidRPr="00D02F02">
        <w:t xml:space="preserve">WOAH was receptive to feedback from </w:t>
      </w:r>
      <w:r>
        <w:t xml:space="preserve">Members across its various </w:t>
      </w:r>
      <w:r w:rsidRPr="00D02F02">
        <w:t>decision</w:t>
      </w:r>
      <w:r>
        <w:t>-</w:t>
      </w:r>
      <w:r w:rsidRPr="00D02F02">
        <w:t xml:space="preserve">making </w:t>
      </w:r>
      <w:r>
        <w:t xml:space="preserve">points on the risks of </w:t>
      </w:r>
      <w:r w:rsidRPr="00D02F02">
        <w:t>atypical BSE. Its approach reflected commitment to the stated principles of transparency, international solidarity</w:t>
      </w:r>
      <w:r>
        <w:t>,</w:t>
      </w:r>
      <w:r w:rsidRPr="00D02F02">
        <w:t xml:space="preserve"> and consensus</w:t>
      </w:r>
      <w:r>
        <w:t>.</w:t>
      </w:r>
    </w:p>
    <w:p w14:paraId="02DCE179" w14:textId="18163B18" w:rsidR="00773FBE" w:rsidRPr="00151C30" w:rsidRDefault="00773FBE" w:rsidP="00F62CB9">
      <w:pPr>
        <w:pStyle w:val="ListParagraph"/>
        <w:numPr>
          <w:ilvl w:val="0"/>
          <w:numId w:val="46"/>
        </w:numPr>
        <w:ind w:left="426" w:hanging="426"/>
        <w:rPr>
          <w:b/>
          <w:bCs/>
        </w:rPr>
      </w:pPr>
      <w:r w:rsidRPr="00151C30">
        <w:rPr>
          <w:b/>
          <w:bCs/>
        </w:rPr>
        <w:t xml:space="preserve">Australia’s </w:t>
      </w:r>
      <w:r w:rsidR="00CF0F20" w:rsidRPr="000857BC">
        <w:rPr>
          <w:b/>
          <w:bCs/>
        </w:rPr>
        <w:t>engagement</w:t>
      </w:r>
      <w:r w:rsidR="00CF0F20" w:rsidRPr="00151C30">
        <w:rPr>
          <w:b/>
          <w:bCs/>
        </w:rPr>
        <w:t xml:space="preserve"> </w:t>
      </w:r>
      <w:r>
        <w:rPr>
          <w:b/>
          <w:bCs/>
        </w:rPr>
        <w:t xml:space="preserve">on </w:t>
      </w:r>
      <w:r w:rsidRPr="00151C30">
        <w:rPr>
          <w:b/>
          <w:bCs/>
        </w:rPr>
        <w:t>BSE standard revision process was effective</w:t>
      </w:r>
      <w:r w:rsidR="00A016EB">
        <w:rPr>
          <w:b/>
          <w:bCs/>
        </w:rPr>
        <w:t>.</w:t>
      </w:r>
    </w:p>
    <w:p w14:paraId="6EC297D3" w14:textId="29796D92" w:rsidR="00773FBE" w:rsidRDefault="00773FBE" w:rsidP="00773FBE">
      <w:r w:rsidRPr="00151C30">
        <w:t xml:space="preserve">The Australian </w:t>
      </w:r>
      <w:r>
        <w:t>G</w:t>
      </w:r>
      <w:r w:rsidRPr="00151C30">
        <w:t xml:space="preserve">overnment’s funding of </w:t>
      </w:r>
      <w:r>
        <w:t>its engagement with WOAH</w:t>
      </w:r>
      <w:r w:rsidRPr="00151C30">
        <w:t xml:space="preserve"> enabled it to deliver </w:t>
      </w:r>
      <w:r>
        <w:t xml:space="preserve">science-based positions, international partnerships, and </w:t>
      </w:r>
      <w:r w:rsidRPr="00151C30">
        <w:t xml:space="preserve">research and industry collaboration necessary </w:t>
      </w:r>
      <w:r>
        <w:t xml:space="preserve">to </w:t>
      </w:r>
      <w:r w:rsidRPr="00151C30">
        <w:t xml:space="preserve">prevent a revision to WOAH’s BSE standards that would have been highly unfavourable to Australia’s agriculture trade and production practices. </w:t>
      </w:r>
    </w:p>
    <w:p w14:paraId="3A4774B0" w14:textId="0F6FD038" w:rsidR="00773FBE" w:rsidRPr="00151C30" w:rsidRDefault="00773FBE" w:rsidP="00773FBE">
      <w:pPr>
        <w:pStyle w:val="ListParagraph"/>
        <w:numPr>
          <w:ilvl w:val="0"/>
          <w:numId w:val="46"/>
        </w:numPr>
        <w:tabs>
          <w:tab w:val="left" w:pos="426"/>
        </w:tabs>
        <w:ind w:left="0" w:firstLine="0"/>
        <w:rPr>
          <w:b/>
          <w:bCs/>
        </w:rPr>
      </w:pPr>
      <w:r>
        <w:rPr>
          <w:b/>
          <w:bCs/>
        </w:rPr>
        <w:lastRenderedPageBreak/>
        <w:t xml:space="preserve">The return on investment in </w:t>
      </w:r>
      <w:r w:rsidR="002E4B21">
        <w:rPr>
          <w:b/>
          <w:bCs/>
        </w:rPr>
        <w:t>engagement</w:t>
      </w:r>
      <w:r>
        <w:rPr>
          <w:b/>
          <w:bCs/>
        </w:rPr>
        <w:t xml:space="preserve"> for BSE</w:t>
      </w:r>
      <w:r w:rsidR="002E4B21">
        <w:rPr>
          <w:b/>
          <w:bCs/>
        </w:rPr>
        <w:t xml:space="preserve"> standard setting</w:t>
      </w:r>
      <w:r>
        <w:rPr>
          <w:b/>
          <w:bCs/>
        </w:rPr>
        <w:t xml:space="preserve"> is significant and represents good value for money</w:t>
      </w:r>
      <w:r w:rsidR="00A016EB">
        <w:rPr>
          <w:b/>
          <w:bCs/>
        </w:rPr>
        <w:t>.</w:t>
      </w:r>
    </w:p>
    <w:p w14:paraId="402144D3" w14:textId="5A0A2890" w:rsidR="0016138E" w:rsidRDefault="00730290" w:rsidP="00FD7044">
      <w:r w:rsidRPr="00167668">
        <w:t>Between 2019 and 2024</w:t>
      </w:r>
      <w:r w:rsidR="00A21889" w:rsidRPr="00167668">
        <w:t>,</w:t>
      </w:r>
      <w:r w:rsidRPr="00167668">
        <w:t xml:space="preserve"> </w:t>
      </w:r>
      <w:r w:rsidR="00A21889" w:rsidRPr="00167668">
        <w:t>Australia</w:t>
      </w:r>
      <w:r w:rsidR="00773FBE" w:rsidRPr="00167668">
        <w:t xml:space="preserve"> invest</w:t>
      </w:r>
      <w:r w:rsidRPr="00167668">
        <w:t>ed</w:t>
      </w:r>
      <w:r w:rsidR="00773FBE" w:rsidRPr="00167668">
        <w:t xml:space="preserve"> around $</w:t>
      </w:r>
      <w:r w:rsidR="00624726" w:rsidRPr="00167668">
        <w:t>4.1</w:t>
      </w:r>
      <w:r w:rsidR="00BA2B46" w:rsidRPr="00167668">
        <w:t xml:space="preserve"> </w:t>
      </w:r>
      <w:r w:rsidR="00773FBE" w:rsidRPr="00167668">
        <w:t xml:space="preserve">million dollars annually </w:t>
      </w:r>
      <w:r w:rsidR="001C5B8E" w:rsidRPr="00167668">
        <w:t>on</w:t>
      </w:r>
      <w:r w:rsidR="001C5B8E">
        <w:t xml:space="preserve"> engagement with WOAH</w:t>
      </w:r>
      <w:r w:rsidR="000B1AF1">
        <w:t>, including for BSE</w:t>
      </w:r>
      <w:r w:rsidR="00773FBE">
        <w:t xml:space="preserve">. </w:t>
      </w:r>
      <w:r w:rsidR="001C5B8E">
        <w:t>In the case of BSE engagement, t</w:t>
      </w:r>
      <w:r w:rsidR="00773FBE">
        <w:t xml:space="preserve">he avoided negative impacts are orders of magnitude higher than the cost of engagement—in the billions of dollars—given the significance of the Australian beef, rendering and feed manufacturing sectors. The investment in </w:t>
      </w:r>
      <w:r w:rsidR="001C5B8E">
        <w:t>engagement</w:t>
      </w:r>
      <w:r w:rsidR="00773FBE">
        <w:t xml:space="preserve"> for BSE therefore represents excellent value for the taxpayers who ultimately fund the engagement.</w:t>
      </w:r>
      <w:r w:rsidR="007B1F99">
        <w:t xml:space="preserve"> </w:t>
      </w:r>
    </w:p>
    <w:p w14:paraId="4D6C7D36" w14:textId="1DEB4D84" w:rsidR="00773FBE" w:rsidRPr="00C321E6" w:rsidRDefault="00773FBE" w:rsidP="00773FBE">
      <w:pPr>
        <w:pStyle w:val="ListParagraph"/>
        <w:numPr>
          <w:ilvl w:val="0"/>
          <w:numId w:val="46"/>
        </w:numPr>
        <w:spacing w:before="240"/>
        <w:ind w:left="425" w:hanging="425"/>
        <w:contextualSpacing w:val="0"/>
        <w:rPr>
          <w:b/>
          <w:bCs/>
        </w:rPr>
      </w:pPr>
      <w:r w:rsidRPr="00C321E6">
        <w:rPr>
          <w:b/>
          <w:bCs/>
        </w:rPr>
        <w:t xml:space="preserve">In-person attendance at WOAH meetings is critical to </w:t>
      </w:r>
      <w:r>
        <w:rPr>
          <w:b/>
          <w:bCs/>
        </w:rPr>
        <w:t xml:space="preserve">achieving </w:t>
      </w:r>
      <w:r w:rsidR="00E13375" w:rsidRPr="000857BC">
        <w:rPr>
          <w:b/>
          <w:bCs/>
        </w:rPr>
        <w:t>outcomes</w:t>
      </w:r>
      <w:r w:rsidR="00D14C65">
        <w:rPr>
          <w:b/>
          <w:bCs/>
        </w:rPr>
        <w:t>.</w:t>
      </w:r>
    </w:p>
    <w:p w14:paraId="560C597B" w14:textId="77777777" w:rsidR="00773FBE" w:rsidRDefault="00773FBE" w:rsidP="00773FBE">
      <w:pPr>
        <w:pStyle w:val="ListParagraph"/>
        <w:ind w:left="0"/>
      </w:pPr>
      <w:r>
        <w:t xml:space="preserve">The annual </w:t>
      </w:r>
      <w:r w:rsidRPr="007F4CD3">
        <w:t xml:space="preserve">WOAH </w:t>
      </w:r>
      <w:r>
        <w:t>G</w:t>
      </w:r>
      <w:r w:rsidRPr="007F4CD3">
        <w:t xml:space="preserve">eneral </w:t>
      </w:r>
      <w:r>
        <w:t>S</w:t>
      </w:r>
      <w:r w:rsidRPr="007F4CD3">
        <w:t>ession</w:t>
      </w:r>
      <w:r>
        <w:t xml:space="preserve"> is held in Paris with up to 183 Members in attendance. WOAH Delegates must attend to represent their respective nations; by speaking, lodging interventions, and voting. Significant advocacy for positions on international standards happens at the General Session and the other important meetings held in the preceding weeks.</w:t>
      </w:r>
    </w:p>
    <w:p w14:paraId="32D1ADDC" w14:textId="14D7B515" w:rsidR="00773FBE" w:rsidRPr="009A7AFB" w:rsidRDefault="00773FBE" w:rsidP="00773FBE">
      <w:pPr>
        <w:pStyle w:val="ListParagraph"/>
        <w:numPr>
          <w:ilvl w:val="0"/>
          <w:numId w:val="46"/>
        </w:numPr>
        <w:spacing w:before="240"/>
        <w:ind w:left="425" w:hanging="425"/>
        <w:contextualSpacing w:val="0"/>
        <w:rPr>
          <w:b/>
          <w:bCs/>
        </w:rPr>
      </w:pPr>
      <w:r w:rsidRPr="0060384F">
        <w:rPr>
          <w:b/>
          <w:bCs/>
        </w:rPr>
        <w:t>National coordination functions for multilateral engagement</w:t>
      </w:r>
      <w:r>
        <w:rPr>
          <w:b/>
          <w:bCs/>
        </w:rPr>
        <w:t xml:space="preserve">, </w:t>
      </w:r>
      <w:r w:rsidRPr="00A42C35">
        <w:rPr>
          <w:b/>
          <w:bCs/>
        </w:rPr>
        <w:t>provided by the department</w:t>
      </w:r>
      <w:r>
        <w:rPr>
          <w:b/>
          <w:bCs/>
        </w:rPr>
        <w:t xml:space="preserve">, </w:t>
      </w:r>
      <w:r w:rsidRPr="009A7AFB">
        <w:rPr>
          <w:b/>
          <w:bCs/>
        </w:rPr>
        <w:t>is a critical asset for Australian agriculture</w:t>
      </w:r>
      <w:r w:rsidR="00D14C65">
        <w:rPr>
          <w:b/>
          <w:bCs/>
        </w:rPr>
        <w:t>.</w:t>
      </w:r>
    </w:p>
    <w:p w14:paraId="31079329" w14:textId="5B6E44CA" w:rsidR="00773FBE" w:rsidRPr="00A42C35" w:rsidRDefault="00773FBE" w:rsidP="00773FBE">
      <w:pPr>
        <w:pStyle w:val="ListParagraph"/>
        <w:ind w:left="0"/>
      </w:pPr>
      <w:r w:rsidRPr="00A42C35">
        <w:t>The department’s Office of the Chief Veterinary Officer (OCVO) is responsible for Australia’s strategy and engagement on WOAH matters. An office with central responsibility allowed Australia to coordinate its input</w:t>
      </w:r>
      <w:r w:rsidR="00A016EB">
        <w:t xml:space="preserve"> into</w:t>
      </w:r>
      <w:r w:rsidRPr="00A42C35">
        <w:t xml:space="preserve"> the BSE standards revision and WOAH’s process of assessing Members’ BSE status.</w:t>
      </w:r>
    </w:p>
    <w:p w14:paraId="0AA55541" w14:textId="5308D4C7" w:rsidR="00773FBE" w:rsidRPr="00B03950" w:rsidRDefault="00773FBE" w:rsidP="00773FBE">
      <w:pPr>
        <w:pStyle w:val="ListParagraph"/>
        <w:numPr>
          <w:ilvl w:val="0"/>
          <w:numId w:val="46"/>
        </w:numPr>
        <w:spacing w:before="240"/>
        <w:ind w:left="425" w:hanging="425"/>
        <w:contextualSpacing w:val="0"/>
        <w:rPr>
          <w:b/>
          <w:bCs/>
        </w:rPr>
      </w:pPr>
      <w:r w:rsidRPr="002D03D0">
        <w:rPr>
          <w:b/>
          <w:bCs/>
        </w:rPr>
        <w:t>Public private partnerships are key to effective multilateral engagement</w:t>
      </w:r>
      <w:r w:rsidR="00D14C65">
        <w:rPr>
          <w:b/>
          <w:bCs/>
        </w:rPr>
        <w:t>.</w:t>
      </w:r>
    </w:p>
    <w:p w14:paraId="03C44B6D" w14:textId="77777777" w:rsidR="00773FBE" w:rsidRDefault="00773FBE" w:rsidP="00773FBE">
      <w:r w:rsidRPr="004A12C4">
        <w:t>The Australian Government worked with industry across the BSE standards revision process and WOAH’s assessment of Australia’s risk status. This collaboration helped inform Australia’s positions and the Australian Government’s representation of Australian interests.</w:t>
      </w:r>
    </w:p>
    <w:p w14:paraId="1C8E398A" w14:textId="02640B0E" w:rsidR="00773FBE" w:rsidRPr="00B03950" w:rsidRDefault="00773FBE" w:rsidP="00773FBE">
      <w:pPr>
        <w:pStyle w:val="ListParagraph"/>
        <w:numPr>
          <w:ilvl w:val="0"/>
          <w:numId w:val="46"/>
        </w:numPr>
        <w:spacing w:before="240"/>
        <w:ind w:left="425" w:hanging="425"/>
        <w:contextualSpacing w:val="0"/>
        <w:rPr>
          <w:b/>
          <w:bCs/>
        </w:rPr>
      </w:pPr>
      <w:r w:rsidRPr="00B03950">
        <w:rPr>
          <w:b/>
          <w:bCs/>
        </w:rPr>
        <w:t>Australia’s leadership within its region is important</w:t>
      </w:r>
      <w:r w:rsidR="00D14C65">
        <w:rPr>
          <w:b/>
          <w:bCs/>
        </w:rPr>
        <w:t>.</w:t>
      </w:r>
    </w:p>
    <w:p w14:paraId="17422BAB" w14:textId="72D279F7" w:rsidR="00773FBE" w:rsidRDefault="00773FBE" w:rsidP="00773FBE">
      <w:r>
        <w:t>Australia’s leadership within its 32</w:t>
      </w:r>
      <w:r w:rsidR="00A016EB">
        <w:t>-m</w:t>
      </w:r>
      <w:r>
        <w:t xml:space="preserve">ember Regional Commission is crucial for generating mutual benefits around ISS and to strengthen </w:t>
      </w:r>
      <w:r w:rsidR="002F42C2">
        <w:t xml:space="preserve">the representation of Australia’s interests </w:t>
      </w:r>
      <w:r>
        <w:t>within WOAH, particularly in the face of global trading blocs which vote in unison.</w:t>
      </w:r>
    </w:p>
    <w:p w14:paraId="6091EC00" w14:textId="752EB6A6" w:rsidR="00773FBE" w:rsidRDefault="00773FBE" w:rsidP="00773FBE">
      <w:pPr>
        <w:pStyle w:val="ListParagraph"/>
        <w:numPr>
          <w:ilvl w:val="0"/>
          <w:numId w:val="46"/>
        </w:numPr>
        <w:ind w:left="426" w:hanging="426"/>
        <w:rPr>
          <w:b/>
          <w:bCs/>
        </w:rPr>
      </w:pPr>
      <w:r w:rsidRPr="00196D55">
        <w:rPr>
          <w:b/>
          <w:bCs/>
        </w:rPr>
        <w:t xml:space="preserve">Relationships with </w:t>
      </w:r>
      <w:r>
        <w:rPr>
          <w:b/>
          <w:bCs/>
        </w:rPr>
        <w:t>like-minded partners are important</w:t>
      </w:r>
      <w:r w:rsidR="00D14C65">
        <w:rPr>
          <w:b/>
          <w:bCs/>
        </w:rPr>
        <w:t>.</w:t>
      </w:r>
    </w:p>
    <w:p w14:paraId="7D79959F" w14:textId="0F9DDF3C" w:rsidR="00773FBE" w:rsidRPr="000857BC" w:rsidRDefault="00773FBE" w:rsidP="00773FBE">
      <w:r>
        <w:t xml:space="preserve">The Animal Health Quadrilateral (Quads) Alliance consists of Australia, Canada, New Zealand, the United Kingdom, and the United States </w:t>
      </w:r>
      <w:r w:rsidR="00E62695">
        <w:t xml:space="preserve">of </w:t>
      </w:r>
      <w:r>
        <w:t xml:space="preserve">America. Coordination with groups of influential, like-minded countries allowed for the sharing of scientific expertise, joint statements against the problematic standard setting and status assessment process for BSE at the time, and </w:t>
      </w:r>
      <w:r w:rsidR="00BA0D88" w:rsidRPr="000857BC">
        <w:t>collaboration with</w:t>
      </w:r>
      <w:r w:rsidRPr="000857BC">
        <w:t>other regions.</w:t>
      </w:r>
      <w:r w:rsidR="005B7FB6" w:rsidRPr="000857BC">
        <w:t xml:space="preserve"> </w:t>
      </w:r>
      <w:r w:rsidRPr="000857BC">
        <w:t>Australia and New Zealand’s longstanding and collaborative relationship saw shared positions in relation to ISS. As such, New Zealand was able to share timely information with Australia on the likely impacts of a change to BSE standards.</w:t>
      </w:r>
    </w:p>
    <w:p w14:paraId="3C6DEEBF" w14:textId="1C21E615" w:rsidR="00773FBE" w:rsidRPr="000857BC" w:rsidRDefault="00773FBE" w:rsidP="00773FBE">
      <w:pPr>
        <w:pStyle w:val="ListParagraph"/>
        <w:numPr>
          <w:ilvl w:val="0"/>
          <w:numId w:val="46"/>
        </w:numPr>
        <w:ind w:left="426" w:hanging="426"/>
        <w:rPr>
          <w:b/>
          <w:bCs/>
        </w:rPr>
      </w:pPr>
      <w:r w:rsidRPr="000857BC">
        <w:rPr>
          <w:b/>
          <w:bCs/>
        </w:rPr>
        <w:lastRenderedPageBreak/>
        <w:t>Australia’s influence in ISS is likely to be effective beyond BSE</w:t>
      </w:r>
      <w:r w:rsidR="00D14C65" w:rsidRPr="000857BC">
        <w:rPr>
          <w:b/>
          <w:bCs/>
        </w:rPr>
        <w:t>.</w:t>
      </w:r>
    </w:p>
    <w:p w14:paraId="606CE422" w14:textId="6BE0129B" w:rsidR="00773FBE" w:rsidRPr="009B0D71" w:rsidRDefault="00773FBE" w:rsidP="00773FBE">
      <w:r w:rsidRPr="000857BC">
        <w:t>The annual investment of approximately $</w:t>
      </w:r>
      <w:r w:rsidR="00624726" w:rsidRPr="000857BC">
        <w:t>4.1</w:t>
      </w:r>
      <w:r w:rsidR="00610C2E" w:rsidRPr="000857BC">
        <w:t xml:space="preserve"> </w:t>
      </w:r>
      <w:r w:rsidRPr="000857BC">
        <w:t xml:space="preserve">million represents the cost of engagement by Australia on ISS across a range of animal diseases of significance to the domestic economy and those of its neighbours. This investment supports Australia’s standing within WOAH by </w:t>
      </w:r>
      <w:r w:rsidR="0067111D" w:rsidRPr="000857BC">
        <w:t xml:space="preserve">attending its forums and </w:t>
      </w:r>
      <w:r w:rsidRPr="000857BC">
        <w:t>embedding Australians in technical and governance groups</w:t>
      </w:r>
      <w:r w:rsidR="00AE1769" w:rsidRPr="000857BC">
        <w:t xml:space="preserve"> and </w:t>
      </w:r>
      <w:r w:rsidRPr="000857BC">
        <w:t xml:space="preserve">leadership positions. This allows Australia to </w:t>
      </w:r>
      <w:r w:rsidR="008B17E8" w:rsidRPr="000857BC">
        <w:t>ensure its perspectives are represented</w:t>
      </w:r>
      <w:r w:rsidR="008B17E8">
        <w:t xml:space="preserve"> </w:t>
      </w:r>
      <w:r w:rsidRPr="00C341A1">
        <w:t xml:space="preserve">in steering scientific/technical discussions and </w:t>
      </w:r>
      <w:r w:rsidR="002F3D9A">
        <w:t xml:space="preserve">that it </w:t>
      </w:r>
      <w:r w:rsidR="002F3D9A" w:rsidRPr="00FB0CFA">
        <w:t>maintains expertise and understanding of WOAH processes enabling effective</w:t>
      </w:r>
      <w:r w:rsidR="002F3D9A">
        <w:t xml:space="preserve"> contribution</w:t>
      </w:r>
      <w:r w:rsidR="002F3D9A" w:rsidRPr="00FB0CFA">
        <w:t xml:space="preserve"> to ISS</w:t>
      </w:r>
      <w:r>
        <w:t xml:space="preserve">. </w:t>
      </w:r>
    </w:p>
    <w:p w14:paraId="045B690B" w14:textId="77777777" w:rsidR="00BC25B4" w:rsidRDefault="00BC25B4" w:rsidP="00BC25B4">
      <w:pPr>
        <w:pStyle w:val="Heading2"/>
      </w:pPr>
      <w:bookmarkStart w:id="83" w:name="_Toc206083799"/>
      <w:r>
        <w:t>Recommendations</w:t>
      </w:r>
      <w:bookmarkEnd w:id="83"/>
      <w:r>
        <w:t xml:space="preserve"> </w:t>
      </w:r>
    </w:p>
    <w:p w14:paraId="2699A3DD" w14:textId="6D231DE9" w:rsidR="003705C9" w:rsidRPr="004E7E92" w:rsidRDefault="00B2681B" w:rsidP="003705C9">
      <w:r>
        <w:t>The value of engagement in WOAH’s ISS to Australia is not limited just to BSE</w:t>
      </w:r>
      <w:r w:rsidR="003705C9">
        <w:t xml:space="preserve">. </w:t>
      </w:r>
      <w:r w:rsidR="003705C9" w:rsidRPr="00887C30">
        <w:t>Additional to providing science-base</w:t>
      </w:r>
      <w:r w:rsidR="003705C9">
        <w:t>d</w:t>
      </w:r>
      <w:r w:rsidR="003705C9" w:rsidRPr="00887C30">
        <w:t xml:space="preserve"> comments with strong rationale</w:t>
      </w:r>
      <w:r>
        <w:t>s</w:t>
      </w:r>
      <w:r w:rsidR="003705C9" w:rsidRPr="00887C30">
        <w:t xml:space="preserve">, Australia must </w:t>
      </w:r>
      <w:r>
        <w:t>place</w:t>
      </w:r>
      <w:r w:rsidRPr="00887C30">
        <w:t xml:space="preserve"> </w:t>
      </w:r>
      <w:r w:rsidR="003705C9" w:rsidRPr="00887C30">
        <w:t xml:space="preserve">itself </w:t>
      </w:r>
      <w:r>
        <w:t xml:space="preserve">in leadership and technical positions </w:t>
      </w:r>
      <w:r w:rsidR="003705C9" w:rsidRPr="00887C30">
        <w:t xml:space="preserve">to </w:t>
      </w:r>
      <w:r w:rsidR="00EC5309">
        <w:t>gain</w:t>
      </w:r>
      <w:r w:rsidR="00EC5309" w:rsidRPr="00887C30">
        <w:t xml:space="preserve"> </w:t>
      </w:r>
      <w:r w:rsidR="003705C9" w:rsidRPr="00887C30">
        <w:t xml:space="preserve">foresight of important standards </w:t>
      </w:r>
      <w:r w:rsidR="00070979">
        <w:t>and</w:t>
      </w:r>
      <w:r w:rsidR="003705C9" w:rsidRPr="00887C30">
        <w:t xml:space="preserve"> ensure our perspectives are considered. </w:t>
      </w:r>
      <w:r>
        <w:t>As each WOAH M</w:t>
      </w:r>
      <w:r w:rsidR="003705C9">
        <w:t xml:space="preserve">ember holds a single vote </w:t>
      </w:r>
      <w:r>
        <w:t xml:space="preserve">on whether to adopt proposed standards, </w:t>
      </w:r>
      <w:r w:rsidR="003705C9" w:rsidRPr="00887C30">
        <w:t xml:space="preserve"> Australia must form collaborations and joint strategies with like</w:t>
      </w:r>
      <w:r w:rsidR="009063C3">
        <w:t>-</w:t>
      </w:r>
      <w:r w:rsidR="003705C9" w:rsidRPr="00887C30">
        <w:t xml:space="preserve">minded countries to </w:t>
      </w:r>
      <w:r>
        <w:t>seek</w:t>
      </w:r>
      <w:r w:rsidRPr="00887C30">
        <w:t xml:space="preserve"> </w:t>
      </w:r>
      <w:r w:rsidR="003705C9" w:rsidRPr="00887C30">
        <w:t>broad support for our interests</w:t>
      </w:r>
      <w:r w:rsidR="003705C9">
        <w:t xml:space="preserve">. While the BSE standard revision process may be a unique context, it has allowed the department to learn important lessons for future engagement in ISS and to build institutional knowledge of BSE and WOAH processes. Given learnings from the BSE case study, we recommend: </w:t>
      </w:r>
    </w:p>
    <w:p w14:paraId="2A69EF53" w14:textId="773F6229" w:rsidR="004F2CFB" w:rsidRDefault="009B0362" w:rsidP="000857BC">
      <w:pPr>
        <w:pStyle w:val="Numberlist1"/>
        <w:numPr>
          <w:ilvl w:val="0"/>
          <w:numId w:val="47"/>
        </w:numPr>
        <w:tabs>
          <w:tab w:val="left" w:pos="426"/>
        </w:tabs>
        <w:ind w:left="0" w:firstLine="0"/>
        <w:contextualSpacing w:val="0"/>
      </w:pPr>
      <w:r>
        <w:t>T</w:t>
      </w:r>
      <w:r w:rsidRPr="00EA3CC2">
        <w:t>he department</w:t>
      </w:r>
      <w:r w:rsidR="00F65739">
        <w:t xml:space="preserve">, </w:t>
      </w:r>
      <w:r w:rsidR="00FF7ED1">
        <w:t>industry and Government more broadly</w:t>
      </w:r>
      <w:r w:rsidR="00592384">
        <w:t>,</w:t>
      </w:r>
      <w:r w:rsidR="00FF7ED1" w:rsidRPr="00EA3CC2">
        <w:t xml:space="preserve"> </w:t>
      </w:r>
      <w:r w:rsidR="004F2CFB">
        <w:t>recognises</w:t>
      </w:r>
      <w:r w:rsidR="004F2CFB" w:rsidRPr="00EA3CC2">
        <w:t xml:space="preserve"> </w:t>
      </w:r>
      <w:r w:rsidR="003705C9" w:rsidRPr="00EA3CC2">
        <w:t xml:space="preserve">investment in </w:t>
      </w:r>
      <w:r w:rsidR="003705C9">
        <w:t xml:space="preserve">ISS </w:t>
      </w:r>
      <w:r w:rsidR="003705C9" w:rsidRPr="00EA3CC2">
        <w:t>far outweigh</w:t>
      </w:r>
      <w:r w:rsidR="003705C9">
        <w:t>s</w:t>
      </w:r>
      <w:r w:rsidR="003705C9" w:rsidRPr="00EA3CC2">
        <w:t xml:space="preserve"> </w:t>
      </w:r>
      <w:r w:rsidR="003705C9">
        <w:t>the costs</w:t>
      </w:r>
      <w:r w:rsidR="009063C3">
        <w:t>.</w:t>
      </w:r>
    </w:p>
    <w:p w14:paraId="2225E2FF" w14:textId="77777777" w:rsidR="003705C9" w:rsidRPr="00EA3CC2" w:rsidRDefault="003705C9" w:rsidP="003705C9">
      <w:r>
        <w:t>Via a basic financial analysis of the BSE standard setting process we have shown the</w:t>
      </w:r>
      <w:r w:rsidRPr="00EA3CC2">
        <w:t xml:space="preserve"> financial costs of investment in multilateral engagement</w:t>
      </w:r>
      <w:r>
        <w:t xml:space="preserve"> via the international standard setting</w:t>
      </w:r>
      <w:r w:rsidRPr="00EA3CC2">
        <w:t xml:space="preserve"> </w:t>
      </w:r>
      <w:r>
        <w:t xml:space="preserve">process </w:t>
      </w:r>
      <w:r w:rsidRPr="00EA3CC2">
        <w:t>is far outweighed by the potential returns</w:t>
      </w:r>
      <w:r>
        <w:t xml:space="preserve"> from this process.</w:t>
      </w:r>
    </w:p>
    <w:p w14:paraId="22820803" w14:textId="55A5BC19" w:rsidR="003705C9" w:rsidRDefault="003705C9" w:rsidP="003705C9">
      <w:pPr>
        <w:pStyle w:val="Numberlist1"/>
        <w:tabs>
          <w:tab w:val="left" w:pos="426"/>
        </w:tabs>
        <w:ind w:left="0" w:firstLine="0"/>
        <w:contextualSpacing w:val="0"/>
      </w:pPr>
      <w:r>
        <w:t>T</w:t>
      </w:r>
      <w:r w:rsidRPr="00EA3CC2">
        <w:t xml:space="preserve">he department </w:t>
      </w:r>
      <w:r w:rsidR="004F2CFB">
        <w:t>recognises</w:t>
      </w:r>
      <w:r w:rsidR="004F2CFB" w:rsidRPr="00EA3CC2">
        <w:t xml:space="preserve"> </w:t>
      </w:r>
      <w:r w:rsidRPr="00EA3CC2">
        <w:t>the potential significant impacts of international standards downstream</w:t>
      </w:r>
      <w:r w:rsidR="009063C3">
        <w:t>.</w:t>
      </w:r>
    </w:p>
    <w:p w14:paraId="717A177B" w14:textId="77777777" w:rsidR="003705C9" w:rsidRPr="00EA3CC2" w:rsidRDefault="003705C9" w:rsidP="003705C9">
      <w:r>
        <w:t>WOAH is the intergovernmental organisation responsible for standard-setting on animal health and zoonoses to facilitate safe trade in animals and animal products. Members of the World Trade Organization (WTO) under their Sanitary and Phytosanitary agreement are obliged to adopt these WOAH standards. The adoption of unfavourable BSE standards or other important standards could have severe consequences to Australia’s biosecurity and market access.</w:t>
      </w:r>
    </w:p>
    <w:p w14:paraId="73E3B2F4" w14:textId="271D8C60" w:rsidR="003705C9" w:rsidRPr="00EA3CC2" w:rsidRDefault="003705C9" w:rsidP="003705C9">
      <w:pPr>
        <w:pStyle w:val="Numberlist1"/>
        <w:tabs>
          <w:tab w:val="left" w:pos="426"/>
        </w:tabs>
        <w:ind w:left="0" w:firstLine="0"/>
        <w:contextualSpacing w:val="0"/>
      </w:pPr>
      <w:r w:rsidRPr="00EA3CC2">
        <w:t xml:space="preserve">The importance of ISS </w:t>
      </w:r>
      <w:r>
        <w:t>be</w:t>
      </w:r>
      <w:r w:rsidRPr="00EA3CC2">
        <w:t xml:space="preserve"> elevated within Australia</w:t>
      </w:r>
      <w:r>
        <w:t>,</w:t>
      </w:r>
      <w:r w:rsidRPr="00EA3CC2">
        <w:t xml:space="preserve"> and greater staffing allocation and mobility is facilitated to fulfil capacity needs</w:t>
      </w:r>
      <w:r w:rsidR="009063C3">
        <w:t>.</w:t>
      </w:r>
    </w:p>
    <w:p w14:paraId="015542CA" w14:textId="0355FDE0" w:rsidR="003705C9" w:rsidRDefault="00E87210" w:rsidP="003705C9">
      <w:r>
        <w:t>WOAH’s increasingly expanding remit from its original mandate of animal disease transparency and international standards has widened the expertise needed by Members to engage on its activities.</w:t>
      </w:r>
      <w:r w:rsidR="003705C9">
        <w:t xml:space="preserve"> The volume of WOAH’s international standards is also increasing. Australia will need ensure sufficient staff and resources are allocated to effectively manage ongoing activities with WOAH, and collaboration internally and </w:t>
      </w:r>
      <w:r w:rsidR="003705C9">
        <w:lastRenderedPageBreak/>
        <w:t>across Australian Government is supported to address multilateral issues of significance.</w:t>
      </w:r>
    </w:p>
    <w:p w14:paraId="3EEFF482" w14:textId="63F0304F" w:rsidR="003705C9" w:rsidRPr="00EA3CC2" w:rsidRDefault="003705C9" w:rsidP="000857BC">
      <w:pPr>
        <w:pStyle w:val="Numberlist1"/>
        <w:ind w:hanging="502"/>
      </w:pPr>
      <w:r>
        <w:t xml:space="preserve">The </w:t>
      </w:r>
      <w:r w:rsidRPr="00EA3CC2">
        <w:t>department increase</w:t>
      </w:r>
      <w:r w:rsidR="005D7F71">
        <w:t>s</w:t>
      </w:r>
      <w:r w:rsidRPr="00EA3CC2">
        <w:t xml:space="preserve"> its engagement </w:t>
      </w:r>
      <w:r w:rsidR="00115DE9">
        <w:t xml:space="preserve">and investment </w:t>
      </w:r>
      <w:r w:rsidRPr="00EA3CC2">
        <w:t>in ISS</w:t>
      </w:r>
      <w:r w:rsidR="009063C3">
        <w:t>.</w:t>
      </w:r>
    </w:p>
    <w:p w14:paraId="1683F0C1" w14:textId="522DF900" w:rsidR="003705C9" w:rsidRDefault="006117D5" w:rsidP="003705C9">
      <w:pPr>
        <w:rPr>
          <w:b/>
          <w:bCs/>
        </w:rPr>
      </w:pPr>
      <w:r>
        <w:t xml:space="preserve">Maintaining the level of annual investment in real terms will aid in preserving Australia’s </w:t>
      </w:r>
      <w:r w:rsidR="005D7F71">
        <w:t xml:space="preserve">representation </w:t>
      </w:r>
      <w:r>
        <w:t>with</w:t>
      </w:r>
      <w:r w:rsidR="005D7F71">
        <w:t>in</w:t>
      </w:r>
      <w:r>
        <w:t xml:space="preserve"> WOAH. The BSE standards revision has however demonstrated the need to elevate the investment </w:t>
      </w:r>
      <w:r w:rsidR="0098111F">
        <w:t xml:space="preserve">to allow for increased engagement with </w:t>
      </w:r>
      <w:r>
        <w:t>multilateral issues, particularly in international standards. Australia is not as well-</w:t>
      </w:r>
      <w:r w:rsidRPr="00167668">
        <w:t>resourced as larger economies or blocs such as the European Union. Instead, Australia</w:t>
      </w:r>
      <w:r>
        <w:t xml:space="preserve"> should seek strategic investments, such as via technical committees, international partnerships, or regional leadership positions</w:t>
      </w:r>
      <w:r w:rsidR="003705C9">
        <w:t>.</w:t>
      </w:r>
    </w:p>
    <w:p w14:paraId="305BCD16" w14:textId="48B660BF" w:rsidR="00C47FB9" w:rsidRDefault="00C47FB9" w:rsidP="00C47FB9">
      <w:pPr>
        <w:pStyle w:val="Numberlist1"/>
        <w:tabs>
          <w:tab w:val="left" w:pos="426"/>
        </w:tabs>
        <w:ind w:left="0" w:firstLine="0"/>
        <w:contextualSpacing w:val="0"/>
      </w:pPr>
      <w:r>
        <w:t xml:space="preserve">The department continues to seek ways to increase Australia’s leadership within WOAH, particularly in areas </w:t>
      </w:r>
      <w:r w:rsidR="00EE27B6">
        <w:t>affecting the global framework for agricultural trade</w:t>
      </w:r>
      <w:r>
        <w:t>.</w:t>
      </w:r>
    </w:p>
    <w:p w14:paraId="4C338A92" w14:textId="756C3E7D" w:rsidR="003705C9" w:rsidRDefault="00C47FB9" w:rsidP="00C47FB9">
      <w:r w:rsidRPr="007B6CF3">
        <w:t>The</w:t>
      </w:r>
      <w:r>
        <w:t xml:space="preserve"> foresight and ability to provide science-based advice to WOAH through Specialist Commission members has been demonstrated by the events leading to WOAH’s final determination of the role of atypical BSE in its international standards. Australia should coordinate with like-minded partners to maximise membership to Specialist Commissions for itself and its alliances. </w:t>
      </w:r>
      <w:r w:rsidRPr="00AA0E3F">
        <w:t xml:space="preserve">Australia should also ensure succession planning </w:t>
      </w:r>
      <w:r w:rsidR="00AA0E3F" w:rsidRPr="00AA0E3F">
        <w:t xml:space="preserve">for its representatives and experts to maintain effective </w:t>
      </w:r>
      <w:r w:rsidR="00F621FB" w:rsidRPr="00AA0E3F">
        <w:t>engage</w:t>
      </w:r>
      <w:r w:rsidR="00AA0E3F">
        <w:t>ment</w:t>
      </w:r>
      <w:r w:rsidR="00F621FB" w:rsidRPr="00AA0E3F">
        <w:t xml:space="preserve"> in WOAH activities</w:t>
      </w:r>
      <w:r w:rsidR="003705C9">
        <w:t xml:space="preserve">. </w:t>
      </w:r>
    </w:p>
    <w:p w14:paraId="720AB664" w14:textId="33D35EC5" w:rsidR="003705C9" w:rsidRDefault="003705C9" w:rsidP="00D27374">
      <w:pPr>
        <w:pStyle w:val="Numberlist1"/>
        <w:ind w:hanging="502"/>
      </w:pPr>
      <w:r w:rsidRPr="00ED7352">
        <w:t>Australia</w:t>
      </w:r>
      <w:r>
        <w:t xml:space="preserve"> increases its</w:t>
      </w:r>
      <w:r w:rsidRPr="00ED7352">
        <w:t xml:space="preserve"> </w:t>
      </w:r>
      <w:r w:rsidR="0078637E">
        <w:t xml:space="preserve">collaboration </w:t>
      </w:r>
      <w:r>
        <w:t>within the WOAH Asia Pacific region</w:t>
      </w:r>
      <w:r w:rsidR="009063C3">
        <w:t>.</w:t>
      </w:r>
    </w:p>
    <w:p w14:paraId="200401BB" w14:textId="660C0B50" w:rsidR="003705C9" w:rsidRDefault="003705C9" w:rsidP="003705C9">
      <w:r w:rsidRPr="00EE72F8">
        <w:t xml:space="preserve">While </w:t>
      </w:r>
      <w:r>
        <w:t xml:space="preserve">the veto from one WOAH Member precluded Australia from putting forward a regional position opposing the 2022 iteration of the draft BSE standards, this effort demonstrated the potential voting influence of the Asia Pacific’s 32 Members. Development of Australia’s regional </w:t>
      </w:r>
      <w:r w:rsidR="0078637E">
        <w:t xml:space="preserve">collaboration </w:t>
      </w:r>
      <w:r>
        <w:t xml:space="preserve">through financial support for various animal health and capacity building projects, and </w:t>
      </w:r>
      <w:r w:rsidR="0078637E">
        <w:t xml:space="preserve">seeking </w:t>
      </w:r>
      <w:r>
        <w:t xml:space="preserve">leadership positions within its </w:t>
      </w:r>
      <w:r w:rsidR="0078637E">
        <w:t>structure</w:t>
      </w:r>
      <w:r>
        <w:t xml:space="preserve"> would better position Australia to </w:t>
      </w:r>
      <w:r w:rsidR="0078637E">
        <w:t xml:space="preserve">represent any joint Asia Pacific interests within </w:t>
      </w:r>
      <w:r>
        <w:t>WOAH</w:t>
      </w:r>
      <w:r w:rsidR="0078637E">
        <w:t>’s</w:t>
      </w:r>
      <w:r>
        <w:t xml:space="preserve"> agendas. </w:t>
      </w:r>
    </w:p>
    <w:p w14:paraId="1B93C2DF" w14:textId="77777777" w:rsidR="007E0D37" w:rsidRDefault="007E0D37" w:rsidP="007E0D37">
      <w:pPr>
        <w:pStyle w:val="Numberlist1"/>
        <w:tabs>
          <w:tab w:val="left" w:pos="426"/>
        </w:tabs>
        <w:ind w:left="0" w:firstLine="0"/>
        <w:contextualSpacing w:val="0"/>
      </w:pPr>
      <w:r w:rsidRPr="00ED7352">
        <w:t>Australia’s</w:t>
      </w:r>
      <w:r>
        <w:t xml:space="preserve"> expand its bilateral relationships on WOAH matters.</w:t>
      </w:r>
    </w:p>
    <w:p w14:paraId="0EA79DE3" w14:textId="77777777" w:rsidR="007E0D37" w:rsidRPr="00B75A56" w:rsidRDefault="007E0D37" w:rsidP="007E0D37">
      <w:r w:rsidRPr="00B75A56">
        <w:t>Australia should develop intelligence on the WOAH positions of other Members and expand its relationship through direct bilateral engagement where possible.</w:t>
      </w:r>
      <w:r>
        <w:t xml:space="preserve"> New engagement with various Members of the Asia Pacific, for example, occurred during the work on new BSE standards.</w:t>
      </w:r>
      <w:r w:rsidRPr="00B75A56">
        <w:t xml:space="preserve"> </w:t>
      </w:r>
    </w:p>
    <w:p w14:paraId="54C32FE2" w14:textId="4983E310" w:rsidR="003705C9" w:rsidRPr="00F32619" w:rsidRDefault="003705C9" w:rsidP="00B2421F">
      <w:pPr>
        <w:pStyle w:val="Numberlist1"/>
        <w:ind w:hanging="502"/>
      </w:pPr>
      <w:r w:rsidRPr="00F32619">
        <w:t>Other engagement scenarios are explored in other sectors</w:t>
      </w:r>
      <w:r w:rsidR="009063C3">
        <w:t>.</w:t>
      </w:r>
    </w:p>
    <w:p w14:paraId="1B81C2B6" w14:textId="09D0B36C" w:rsidR="00055443" w:rsidRDefault="002313D2" w:rsidP="003705C9">
      <w:pPr>
        <w:rPr>
          <w:rFonts w:ascii="Corbel" w:hAnsi="Corbel"/>
          <w:b/>
          <w:bCs/>
          <w:iCs/>
          <w:sz w:val="28"/>
          <w:szCs w:val="28"/>
        </w:rPr>
      </w:pPr>
      <w:r w:rsidRPr="00F32619">
        <w:t>Other ISS organisations may possess comparable governance frameworks and processes to WOAH. These recommendations should be considered where applicable</w:t>
      </w:r>
      <w:r>
        <w:t>,</w:t>
      </w:r>
      <w:r w:rsidRPr="00F32619">
        <w:t xml:space="preserve"> to particularly WTO’s ‘Three Sisters’ organisations – WOAH, the IPPC, and Codex Alimentarius. Vice versa, learnings from engagement with other ISS</w:t>
      </w:r>
      <w:r>
        <w:t xml:space="preserve"> organisations</w:t>
      </w:r>
      <w:r w:rsidRPr="00F32619">
        <w:t xml:space="preserve"> should be considered for our strategy with WOAH</w:t>
      </w:r>
      <w:r w:rsidR="003705C9" w:rsidRPr="00F32619">
        <w:t>.</w:t>
      </w:r>
      <w:r w:rsidR="00055443">
        <w:br w:type="page"/>
      </w:r>
    </w:p>
    <w:p w14:paraId="41966E90" w14:textId="7A6AED08" w:rsidR="00387DB1" w:rsidRDefault="71AE851B" w:rsidP="000024FA">
      <w:pPr>
        <w:pStyle w:val="Heading1"/>
      </w:pPr>
      <w:bookmarkStart w:id="84" w:name="_Toc184311761"/>
      <w:bookmarkStart w:id="85" w:name="_Toc206083800"/>
      <w:r>
        <w:lastRenderedPageBreak/>
        <w:t>References</w:t>
      </w:r>
      <w:bookmarkEnd w:id="84"/>
      <w:bookmarkEnd w:id="85"/>
    </w:p>
    <w:p w14:paraId="24C9683B" w14:textId="48B6A286" w:rsidR="001C209E" w:rsidRDefault="001C209E" w:rsidP="007F67D2">
      <w:pPr>
        <w:spacing w:line="240" w:lineRule="auto"/>
        <w:ind w:left="426" w:hanging="426"/>
      </w:pPr>
      <w:r>
        <w:t xml:space="preserve">ABARES </w:t>
      </w:r>
      <w:r w:rsidR="00693204">
        <w:t xml:space="preserve">(2023). ABARES Insights: Snapshot of Australian Agriculture 2023. </w:t>
      </w:r>
      <w:hyperlink r:id="rId36" w:history="1">
        <w:r w:rsidR="00E17F95" w:rsidRPr="005F4F88">
          <w:rPr>
            <w:rStyle w:val="Hyperlink"/>
          </w:rPr>
          <w:t>https://daff.ent.sirsidynix.net.au/client/en_AU/search/asset/1034541/0</w:t>
        </w:r>
      </w:hyperlink>
      <w:r w:rsidR="00E17F95">
        <w:t xml:space="preserve"> </w:t>
      </w:r>
    </w:p>
    <w:p w14:paraId="136DE8F1" w14:textId="0D44BD76" w:rsidR="00A16644" w:rsidRPr="00167668" w:rsidRDefault="00BF69F7" w:rsidP="00A16644">
      <w:pPr>
        <w:spacing w:line="240" w:lineRule="auto"/>
        <w:ind w:left="426" w:hanging="426"/>
      </w:pPr>
      <w:r>
        <w:t xml:space="preserve">ABARES </w:t>
      </w:r>
      <w:r w:rsidR="00B060BB">
        <w:t xml:space="preserve">(2024) </w:t>
      </w:r>
      <w:r w:rsidR="00B060BB" w:rsidRPr="00B060BB">
        <w:t xml:space="preserve">Agricultural Commodities Report: December quarter 2024, </w:t>
      </w:r>
      <w:r w:rsidR="00B060BB" w:rsidRPr="00167668">
        <w:t xml:space="preserve">ABARES, Canberra, DOI: </w:t>
      </w:r>
      <w:hyperlink r:id="rId37" w:history="1">
        <w:r w:rsidR="00B060BB" w:rsidRPr="00167668">
          <w:rPr>
            <w:rStyle w:val="Hyperlink"/>
          </w:rPr>
          <w:t>https://doi.org/10.25814/82b5-tg66</w:t>
        </w:r>
      </w:hyperlink>
      <w:r w:rsidR="00B060BB" w:rsidRPr="00167668">
        <w:t xml:space="preserve"> </w:t>
      </w:r>
    </w:p>
    <w:p w14:paraId="768425CF" w14:textId="7EC0E63E" w:rsidR="001C0FD9" w:rsidRPr="00167668" w:rsidRDefault="001C0FD9" w:rsidP="001C0FD9">
      <w:pPr>
        <w:pStyle w:val="EndNoteBibliography"/>
        <w:spacing w:after="0"/>
        <w:ind w:left="720" w:hanging="720"/>
        <w:rPr>
          <w:rFonts w:ascii="Times New Roman" w:hAnsi="Times New Roman"/>
          <w:sz w:val="24"/>
        </w:rPr>
      </w:pPr>
      <w:r w:rsidRPr="00167668">
        <w:rPr>
          <w:rFonts w:ascii="Times New Roman" w:hAnsi="Times New Roman"/>
          <w:sz w:val="24"/>
        </w:rPr>
        <w:t xml:space="preserve">Bach, D. (2010). Varieties of cooperation: the domestic institutional roots of global governance. </w:t>
      </w:r>
      <w:r w:rsidRPr="00167668">
        <w:rPr>
          <w:rFonts w:ascii="Times New Roman" w:hAnsi="Times New Roman"/>
          <w:i/>
          <w:sz w:val="24"/>
        </w:rPr>
        <w:t>Review of International Studies,</w:t>
      </w:r>
      <w:r w:rsidRPr="00167668">
        <w:rPr>
          <w:rFonts w:ascii="Times New Roman" w:hAnsi="Times New Roman"/>
          <w:sz w:val="24"/>
        </w:rPr>
        <w:t xml:space="preserve"> 36 (3): 561-589.</w:t>
      </w:r>
    </w:p>
    <w:p w14:paraId="12531481" w14:textId="31BED244" w:rsidR="001C0FD9" w:rsidRPr="00167668" w:rsidRDefault="001C0FD9" w:rsidP="00B71F59">
      <w:pPr>
        <w:pStyle w:val="EndNoteBibliography"/>
        <w:spacing w:after="0"/>
        <w:ind w:left="720" w:hanging="720"/>
      </w:pPr>
      <w:r w:rsidRPr="00167668">
        <w:rPr>
          <w:rFonts w:ascii="Times New Roman" w:hAnsi="Times New Roman"/>
          <w:sz w:val="24"/>
        </w:rPr>
        <w:t xml:space="preserve">Boswell, C. (2008). The political functions of expert knowledge: Knowledge and legitimation in European Union immigration policy.  </w:t>
      </w:r>
      <w:r w:rsidRPr="00167668">
        <w:rPr>
          <w:rFonts w:ascii="Times New Roman" w:hAnsi="Times New Roman"/>
          <w:i/>
          <w:sz w:val="24"/>
        </w:rPr>
        <w:t>Journal of European Public Policy,</w:t>
      </w:r>
      <w:r w:rsidRPr="00167668">
        <w:rPr>
          <w:rFonts w:ascii="Times New Roman" w:hAnsi="Times New Roman"/>
          <w:sz w:val="24"/>
        </w:rPr>
        <w:t xml:space="preserve"> 15 (4): 471-488.</w:t>
      </w:r>
    </w:p>
    <w:p w14:paraId="7D9F4FB3" w14:textId="70987B91" w:rsidR="00945FDF" w:rsidRPr="00167668" w:rsidRDefault="00945FDF" w:rsidP="007F67D2">
      <w:pPr>
        <w:spacing w:line="240" w:lineRule="auto"/>
        <w:ind w:left="426" w:hanging="426"/>
      </w:pPr>
      <w:r w:rsidRPr="00167668">
        <w:t xml:space="preserve">CDC (US Centres for Disease Control and Prevention) (n.d.) Bovine Spongiform Encephalopathy (BSE). </w:t>
      </w:r>
      <w:hyperlink r:id="rId38" w:history="1">
        <w:r w:rsidRPr="00167668">
          <w:rPr>
            <w:rStyle w:val="Hyperlink"/>
          </w:rPr>
          <w:t>https://www.cdc.gov/mad-cow/php/animal-health/index.html</w:t>
        </w:r>
      </w:hyperlink>
      <w:r w:rsidRPr="00167668">
        <w:t>; Accessed 20 July 2024</w:t>
      </w:r>
      <w:r w:rsidR="002D29EF" w:rsidRPr="00167668">
        <w:t>.</w:t>
      </w:r>
    </w:p>
    <w:p w14:paraId="4DE5D36E" w14:textId="77777777" w:rsidR="00B31952" w:rsidRPr="00167668" w:rsidRDefault="00B31952" w:rsidP="007F67D2">
      <w:pPr>
        <w:autoSpaceDE w:val="0"/>
        <w:autoSpaceDN w:val="0"/>
        <w:adjustRightInd w:val="0"/>
        <w:spacing w:line="240" w:lineRule="auto"/>
        <w:ind w:left="426" w:hanging="426"/>
        <w:rPr>
          <w:lang w:eastAsia="en-AU"/>
        </w:rPr>
      </w:pPr>
      <w:r w:rsidRPr="00167668">
        <w:rPr>
          <w:lang w:eastAsia="en-AU"/>
        </w:rPr>
        <w:t>Edwards, B., S. Waldron, C. Brown and J. Longworth (2016) The Sino-Australian Cattle and Beef Relationships: assessment and prospects. St Lucia: The University of Queensland.</w:t>
      </w:r>
    </w:p>
    <w:p w14:paraId="289043B6" w14:textId="7AA5C6BF" w:rsidR="00D82C3D" w:rsidRPr="00167668" w:rsidRDefault="00D82C3D" w:rsidP="007F67D2">
      <w:pPr>
        <w:autoSpaceDE w:val="0"/>
        <w:autoSpaceDN w:val="0"/>
        <w:adjustRightInd w:val="0"/>
        <w:spacing w:line="240" w:lineRule="auto"/>
        <w:ind w:left="426" w:hanging="426"/>
        <w:rPr>
          <w:lang w:eastAsia="en-AU"/>
        </w:rPr>
      </w:pPr>
      <w:r w:rsidRPr="00167668">
        <w:rPr>
          <w:noProof/>
        </w:rPr>
        <w:t xml:space="preserve">Fouilleux, E. (2004). CAP reforms and multilateral trade negotiations: another view on discourse efficiency.  </w:t>
      </w:r>
      <w:r w:rsidRPr="00167668">
        <w:rPr>
          <w:i/>
          <w:noProof/>
        </w:rPr>
        <w:t>West European Politics</w:t>
      </w:r>
      <w:r w:rsidR="001C0FD9" w:rsidRPr="00167668">
        <w:rPr>
          <w:i/>
          <w:noProof/>
        </w:rPr>
        <w:t>,</w:t>
      </w:r>
      <w:r w:rsidRPr="00167668">
        <w:rPr>
          <w:noProof/>
        </w:rPr>
        <w:t xml:space="preserve"> 27 (2):</w:t>
      </w:r>
      <w:r w:rsidR="001C0FD9" w:rsidRPr="00167668">
        <w:rPr>
          <w:noProof/>
        </w:rPr>
        <w:t xml:space="preserve"> </w:t>
      </w:r>
      <w:r w:rsidRPr="00167668">
        <w:rPr>
          <w:noProof/>
        </w:rPr>
        <w:t>235-255.</w:t>
      </w:r>
    </w:p>
    <w:p w14:paraId="0CA65AEA" w14:textId="4A075463" w:rsidR="00A759E6" w:rsidRDefault="00A759E6" w:rsidP="00A759E6">
      <w:pPr>
        <w:autoSpaceDE w:val="0"/>
        <w:autoSpaceDN w:val="0"/>
        <w:adjustRightInd w:val="0"/>
        <w:spacing w:line="240" w:lineRule="auto"/>
        <w:ind w:left="426" w:hanging="426"/>
        <w:rPr>
          <w:lang w:eastAsia="en-AU"/>
        </w:rPr>
      </w:pPr>
      <w:r w:rsidRPr="00167668">
        <w:rPr>
          <w:lang w:eastAsia="en-AU"/>
        </w:rPr>
        <w:t xml:space="preserve">Huor A, Espinosa JC, Vidal E, Cassard H, Douet JY, Lugan S, Aron N, Marín-Moreno A, Lorenzo P, Aguilar-Calvo P, Badiola J, Bolea R, Pumarola M, Benestad SL, Orge L, Thackray AM, Bujdoso R, Torres JM, Andreoletti O. (2019). The emergence of classical BSE from atypical/Nor98 scrapie. </w:t>
      </w:r>
      <w:r w:rsidRPr="00167668">
        <w:rPr>
          <w:i/>
          <w:iCs/>
          <w:lang w:eastAsia="en-AU"/>
        </w:rPr>
        <w:t>Proceedings of the</w:t>
      </w:r>
      <w:r w:rsidRPr="00D06002">
        <w:rPr>
          <w:i/>
          <w:iCs/>
          <w:lang w:eastAsia="en-AU"/>
        </w:rPr>
        <w:t xml:space="preserve"> National Academy of Sciences</w:t>
      </w:r>
      <w:r w:rsidRPr="00D06002">
        <w:rPr>
          <w:lang w:eastAsia="en-AU"/>
        </w:rPr>
        <w:t xml:space="preserve"> . 116(52):26853-26862. </w:t>
      </w:r>
      <w:hyperlink r:id="rId39" w:history="1">
        <w:r w:rsidRPr="00D06002">
          <w:rPr>
            <w:rStyle w:val="Hyperlink"/>
            <w:lang w:eastAsia="en-AU"/>
          </w:rPr>
          <w:t>https://doi.org/10.1073/pnas.1915737116</w:t>
        </w:r>
      </w:hyperlink>
      <w:r w:rsidRPr="00A759E6">
        <w:rPr>
          <w:lang w:eastAsia="en-AU"/>
        </w:rPr>
        <w:t xml:space="preserve"> .</w:t>
      </w:r>
    </w:p>
    <w:p w14:paraId="35CBB56B" w14:textId="1070AE92" w:rsidR="003C22C2" w:rsidRDefault="00286DB4" w:rsidP="007F67D2">
      <w:pPr>
        <w:autoSpaceDE w:val="0"/>
        <w:autoSpaceDN w:val="0"/>
        <w:adjustRightInd w:val="0"/>
        <w:spacing w:line="240" w:lineRule="auto"/>
        <w:ind w:left="426" w:hanging="426"/>
      </w:pPr>
      <w:r w:rsidRPr="005229F9">
        <w:t xml:space="preserve">Kompas, Tom and Daniel Spring. 2016. </w:t>
      </w:r>
      <w:r w:rsidRPr="00286DB4">
        <w:t xml:space="preserve">Assessing the Benefits from Australia’s Engagement with the World Organisation for Animal Health (Oie) </w:t>
      </w:r>
      <w:r w:rsidRPr="005229F9">
        <w:t>Melbourne: Centre of Excellence in Biosecurity Risk Analysis University of Melbourne.</w:t>
      </w:r>
    </w:p>
    <w:p w14:paraId="128C5414" w14:textId="134E16C1" w:rsidR="00945FDF" w:rsidRPr="003F14BF" w:rsidRDefault="00945FDF" w:rsidP="007F67D2">
      <w:pPr>
        <w:autoSpaceDE w:val="0"/>
        <w:autoSpaceDN w:val="0"/>
        <w:adjustRightInd w:val="0"/>
        <w:spacing w:line="240" w:lineRule="auto"/>
        <w:ind w:left="426" w:hanging="426"/>
        <w:rPr>
          <w:rFonts w:cstheme="minorHAnsi"/>
        </w:rPr>
      </w:pPr>
      <w:r w:rsidRPr="00D81136">
        <w:rPr>
          <w:rFonts w:cstheme="minorHAnsi"/>
          <w:lang w:val="it-IT"/>
        </w:rPr>
        <w:t xml:space="preserve">Maurella C, Casalone C, Iulini B, Caramelli M (2013). </w:t>
      </w:r>
      <w:r w:rsidRPr="003F14BF">
        <w:rPr>
          <w:rFonts w:cstheme="minorHAnsi"/>
        </w:rPr>
        <w:t xml:space="preserve">Bovine spongiform encephalopathy: history and diagnosis of a decreasing epidemic. </w:t>
      </w:r>
      <w:r w:rsidRPr="003F14BF">
        <w:rPr>
          <w:rFonts w:cstheme="minorHAnsi"/>
          <w:u w:val="single"/>
        </w:rPr>
        <w:t>Foodborne viruses and prions and their significance for public health</w:t>
      </w:r>
      <w:r w:rsidRPr="003F14BF">
        <w:rPr>
          <w:rFonts w:cstheme="minorHAnsi"/>
        </w:rPr>
        <w:t xml:space="preserve">, Wageningen Academic Publishers. </w:t>
      </w:r>
      <w:r w:rsidRPr="003F14BF">
        <w:rPr>
          <w:rFonts w:cstheme="minorHAnsi"/>
          <w:b/>
          <w:bCs/>
        </w:rPr>
        <w:t xml:space="preserve">6: </w:t>
      </w:r>
      <w:r w:rsidRPr="003F14BF">
        <w:rPr>
          <w:rFonts w:cstheme="minorHAnsi"/>
        </w:rPr>
        <w:t>275-302.  doi:10.3920/978-90-8686-780-6_13</w:t>
      </w:r>
      <w:r w:rsidR="002D29EF">
        <w:rPr>
          <w:rFonts w:cstheme="minorHAnsi"/>
        </w:rPr>
        <w:t xml:space="preserve"> </w:t>
      </w:r>
    </w:p>
    <w:p w14:paraId="14C8E7E6" w14:textId="729E353A" w:rsidR="0090554B" w:rsidRDefault="00E34570" w:rsidP="007F67D2">
      <w:pPr>
        <w:spacing w:line="240" w:lineRule="auto"/>
        <w:ind w:left="426" w:hanging="426"/>
      </w:pPr>
      <w:r>
        <w:t xml:space="preserve">MLA (Meat and Livestock Australia) (2024) </w:t>
      </w:r>
      <w:r w:rsidR="0090554B">
        <w:t xml:space="preserve">September 2024 Cattle Projections. </w:t>
      </w:r>
      <w:hyperlink r:id="rId40" w:history="1">
        <w:r w:rsidR="0090554B" w:rsidRPr="00076653">
          <w:rPr>
            <w:rStyle w:val="Hyperlink"/>
          </w:rPr>
          <w:t>https://www.youtube.com/watch?v=vXzdhjiHAuc</w:t>
        </w:r>
      </w:hyperlink>
      <w:r w:rsidR="0090554B">
        <w:t xml:space="preserve"> </w:t>
      </w:r>
    </w:p>
    <w:p w14:paraId="5E6FB0D7" w14:textId="1E7E5280" w:rsidR="00EA4AB4" w:rsidRDefault="00EA4AB4" w:rsidP="007F67D2">
      <w:pPr>
        <w:spacing w:line="240" w:lineRule="auto"/>
        <w:ind w:left="426" w:hanging="426"/>
      </w:pPr>
      <w:r w:rsidRPr="00EA4AB4">
        <w:t>Nordblom, T. L.</w:t>
      </w:r>
      <w:r>
        <w:t xml:space="preserve"> </w:t>
      </w:r>
      <w:r w:rsidRPr="00EA4AB4">
        <w:t xml:space="preserve">(2003). Putting biological reality into economic assessments of biocontrol. Improving the selection, testing and evaluation of weed biological control agents. In H. Spafford Jacob &amp; D. T. Briese (Eds.), </w:t>
      </w:r>
      <w:r w:rsidRPr="00EA4AB4">
        <w:rPr>
          <w:i/>
          <w:iCs/>
        </w:rPr>
        <w:t>Improving the Selection, Testing and Evaluation of Weed  Biological  Control  Agents.  pp. 75–85. CRC for Australian Weed Management, Adelaide, Australia.</w:t>
      </w:r>
    </w:p>
    <w:p w14:paraId="3B374AA2" w14:textId="771AE03D" w:rsidR="003C22C2" w:rsidRPr="00167668" w:rsidRDefault="003C22C2" w:rsidP="007F67D2">
      <w:pPr>
        <w:spacing w:line="240" w:lineRule="auto"/>
        <w:ind w:left="426" w:hanging="426"/>
      </w:pPr>
      <w:r w:rsidRPr="00167668">
        <w:t xml:space="preserve">OCVO. </w:t>
      </w:r>
      <w:r w:rsidR="0081499C" w:rsidRPr="00167668">
        <w:t>n.d</w:t>
      </w:r>
      <w:r w:rsidRPr="00167668">
        <w:t>. BSE Data Brief. Canberra: Department of Agriculture, Fisheries and Forestry.</w:t>
      </w:r>
    </w:p>
    <w:p w14:paraId="45730B0A" w14:textId="102E6FC8" w:rsidR="00D552E8" w:rsidRPr="00167668" w:rsidRDefault="00D552E8" w:rsidP="007F67D2">
      <w:pPr>
        <w:spacing w:line="240" w:lineRule="auto"/>
        <w:ind w:left="426" w:hanging="426"/>
      </w:pPr>
      <w:r w:rsidRPr="00167668">
        <w:t>Peterson, E.B., Grant, J.H. and Sydow, S. (2017). Evaluating the Trade Impacts of Bovine Spongiform Encephalopath (BSE) Using Historical Simulations</w:t>
      </w:r>
      <w:r w:rsidR="00744049" w:rsidRPr="00167668">
        <w:t xml:space="preserve">. Center for </w:t>
      </w:r>
      <w:r w:rsidR="00744049" w:rsidRPr="00167668">
        <w:lastRenderedPageBreak/>
        <w:t xml:space="preserve">Agricultural Trade Working Paper CAT-2017-01 Department of Agricultural and Applied Economics Virginia Tech. </w:t>
      </w:r>
      <w:hyperlink r:id="rId41" w:history="1">
        <w:r w:rsidR="00AC14AC" w:rsidRPr="00167668">
          <w:rPr>
            <w:rStyle w:val="Hyperlink"/>
          </w:rPr>
          <w:t>8807.pdf</w:t>
        </w:r>
      </w:hyperlink>
    </w:p>
    <w:p w14:paraId="4991DF35" w14:textId="76D78698" w:rsidR="002D29EF" w:rsidRPr="00167668" w:rsidRDefault="002D29EF" w:rsidP="007F67D2">
      <w:pPr>
        <w:spacing w:line="240" w:lineRule="auto"/>
        <w:ind w:left="426" w:hanging="426"/>
      </w:pPr>
      <w:r w:rsidRPr="00167668">
        <w:t xml:space="preserve">Probst, C., Gethmann, J.M., Heuser, R., Niemann, H. and Conraths, F.J. (2013), Direct Costs of Bovine Spongiform Encephalopathy Control Measures in Germany. </w:t>
      </w:r>
      <w:r w:rsidRPr="00167668">
        <w:rPr>
          <w:i/>
        </w:rPr>
        <w:t>Zoonoses Public Health</w:t>
      </w:r>
      <w:r w:rsidRPr="00167668">
        <w:t>, 60: 577-595.  </w:t>
      </w:r>
      <w:hyperlink r:id="rId42" w:history="1">
        <w:r w:rsidRPr="00167668">
          <w:rPr>
            <w:rStyle w:val="Hyperlink"/>
          </w:rPr>
          <w:t>https://doi.org/10.1111/zph.12032</w:t>
        </w:r>
      </w:hyperlink>
      <w:r w:rsidR="001C0FD9" w:rsidRPr="00167668">
        <w:t>.</w:t>
      </w:r>
    </w:p>
    <w:p w14:paraId="249A438A" w14:textId="78DF43E8" w:rsidR="001C0FD9" w:rsidRPr="00D31A6D" w:rsidRDefault="001C0FD9" w:rsidP="00D052DD">
      <w:pPr>
        <w:pStyle w:val="EndNoteBibliography"/>
        <w:ind w:left="720" w:hanging="720"/>
      </w:pPr>
      <w:r w:rsidRPr="00D052DD">
        <w:rPr>
          <w:rFonts w:ascii="Times New Roman" w:hAnsi="Times New Roman"/>
          <w:sz w:val="24"/>
        </w:rPr>
        <w:t>Rivera, Y</w:t>
      </w:r>
      <w:r w:rsidRPr="00167668">
        <w:rPr>
          <w:rFonts w:ascii="Times New Roman" w:hAnsi="Times New Roman"/>
          <w:sz w:val="24"/>
        </w:rPr>
        <w:t>.</w:t>
      </w:r>
      <w:r w:rsidRPr="00D052DD">
        <w:rPr>
          <w:rFonts w:ascii="Times New Roman" w:hAnsi="Times New Roman"/>
          <w:sz w:val="24"/>
        </w:rPr>
        <w:t xml:space="preserve">A. </w:t>
      </w:r>
      <w:r w:rsidRPr="00167668">
        <w:rPr>
          <w:rFonts w:ascii="Times New Roman" w:hAnsi="Times New Roman"/>
          <w:sz w:val="24"/>
        </w:rPr>
        <w:t>(</w:t>
      </w:r>
      <w:r w:rsidRPr="00D052DD">
        <w:rPr>
          <w:rFonts w:ascii="Times New Roman" w:hAnsi="Times New Roman"/>
          <w:sz w:val="24"/>
        </w:rPr>
        <w:t>2024</w:t>
      </w:r>
      <w:r w:rsidRPr="00167668">
        <w:rPr>
          <w:rFonts w:ascii="Times New Roman" w:hAnsi="Times New Roman"/>
          <w:sz w:val="24"/>
        </w:rPr>
        <w:t>)</w:t>
      </w:r>
      <w:r w:rsidRPr="00D052DD">
        <w:rPr>
          <w:rFonts w:ascii="Times New Roman" w:hAnsi="Times New Roman"/>
          <w:sz w:val="24"/>
        </w:rPr>
        <w:t xml:space="preserve">. Analysing the lobbying behaviour of experts during the due process of the International Integrated Reporting Framework.  </w:t>
      </w:r>
      <w:r w:rsidRPr="00D052DD">
        <w:rPr>
          <w:rFonts w:ascii="Times New Roman" w:hAnsi="Times New Roman"/>
          <w:i/>
          <w:sz w:val="24"/>
        </w:rPr>
        <w:t xml:space="preserve">Sustainability </w:t>
      </w:r>
      <w:r w:rsidRPr="00167668">
        <w:rPr>
          <w:rFonts w:ascii="Times New Roman" w:hAnsi="Times New Roman"/>
          <w:i/>
          <w:sz w:val="24"/>
        </w:rPr>
        <w:t>A</w:t>
      </w:r>
      <w:r w:rsidRPr="00D052DD">
        <w:rPr>
          <w:rFonts w:ascii="Times New Roman" w:hAnsi="Times New Roman"/>
          <w:i/>
          <w:sz w:val="24"/>
        </w:rPr>
        <w:t xml:space="preserve">ccounting, </w:t>
      </w:r>
      <w:r w:rsidRPr="00167668">
        <w:rPr>
          <w:rFonts w:ascii="Times New Roman" w:hAnsi="Times New Roman"/>
          <w:i/>
          <w:sz w:val="24"/>
        </w:rPr>
        <w:t>M</w:t>
      </w:r>
      <w:r w:rsidRPr="00D052DD">
        <w:rPr>
          <w:rFonts w:ascii="Times New Roman" w:hAnsi="Times New Roman"/>
          <w:i/>
          <w:sz w:val="24"/>
        </w:rPr>
        <w:t xml:space="preserve">anagement and </w:t>
      </w:r>
      <w:r w:rsidRPr="00167668">
        <w:rPr>
          <w:rFonts w:ascii="Times New Roman" w:hAnsi="Times New Roman"/>
          <w:i/>
          <w:sz w:val="24"/>
        </w:rPr>
        <w:t>P</w:t>
      </w:r>
      <w:r w:rsidRPr="00D052DD">
        <w:rPr>
          <w:rFonts w:ascii="Times New Roman" w:hAnsi="Times New Roman"/>
          <w:i/>
          <w:sz w:val="24"/>
        </w:rPr>
        <w:t xml:space="preserve">olicy </w:t>
      </w:r>
      <w:r w:rsidRPr="00167668">
        <w:rPr>
          <w:rFonts w:ascii="Times New Roman" w:hAnsi="Times New Roman"/>
          <w:i/>
          <w:sz w:val="24"/>
        </w:rPr>
        <w:t>J</w:t>
      </w:r>
      <w:r w:rsidRPr="00D052DD">
        <w:rPr>
          <w:rFonts w:ascii="Times New Roman" w:hAnsi="Times New Roman"/>
          <w:i/>
          <w:sz w:val="24"/>
        </w:rPr>
        <w:t>ournal</w:t>
      </w:r>
      <w:r w:rsidRPr="00167668">
        <w:rPr>
          <w:rFonts w:ascii="Times New Roman" w:hAnsi="Times New Roman"/>
          <w:i/>
          <w:sz w:val="24"/>
        </w:rPr>
        <w:t xml:space="preserve">, </w:t>
      </w:r>
      <w:r w:rsidRPr="00D052DD">
        <w:rPr>
          <w:rFonts w:ascii="Times New Roman" w:hAnsi="Times New Roman"/>
          <w:sz w:val="24"/>
        </w:rPr>
        <w:t>15 (1):</w:t>
      </w:r>
      <w:r w:rsidRPr="00167668">
        <w:rPr>
          <w:rFonts w:ascii="Times New Roman" w:hAnsi="Times New Roman"/>
          <w:sz w:val="24"/>
        </w:rPr>
        <w:t xml:space="preserve"> </w:t>
      </w:r>
      <w:r w:rsidRPr="00D052DD">
        <w:rPr>
          <w:rFonts w:ascii="Times New Roman" w:hAnsi="Times New Roman"/>
          <w:sz w:val="24"/>
        </w:rPr>
        <w:t>23-47. doi: 10.1108/SAMPJ-07-2021-0310.</w:t>
      </w:r>
    </w:p>
    <w:p w14:paraId="2C824D72" w14:textId="3E4D5657" w:rsidR="00945FDF" w:rsidRPr="003F14BF" w:rsidRDefault="00945FDF" w:rsidP="007F67D2">
      <w:pPr>
        <w:spacing w:line="240" w:lineRule="auto"/>
        <w:ind w:left="426" w:hanging="426"/>
      </w:pPr>
      <w:r w:rsidRPr="003F14BF">
        <w:t>Smith PG. (2003). The epidemics of bovine spongiform encephalopathy and variant Creutzfeldt-Jakob disease: current status and future prospects</w:t>
      </w:r>
      <w:r w:rsidR="002D29EF">
        <w:t>,</w:t>
      </w:r>
      <w:r w:rsidRPr="003F14BF">
        <w:t xml:space="preserve"> </w:t>
      </w:r>
      <w:r w:rsidRPr="003F14BF">
        <w:rPr>
          <w:i/>
        </w:rPr>
        <w:t>Bulletin of World Health Organisation</w:t>
      </w:r>
      <w:r w:rsidRPr="003F14BF">
        <w:t>, 81(2):123-30.</w:t>
      </w:r>
    </w:p>
    <w:p w14:paraId="1678CDC8" w14:textId="6D1F3330" w:rsidR="00837D68" w:rsidRPr="00F604D9" w:rsidRDefault="00837D68" w:rsidP="007F67D2">
      <w:pPr>
        <w:spacing w:line="240" w:lineRule="auto"/>
        <w:ind w:left="426" w:hanging="426"/>
        <w:rPr>
          <w:lang w:val="it-IT"/>
        </w:rPr>
      </w:pPr>
      <w:r w:rsidRPr="00837D68">
        <w:t xml:space="preserve">Spring, D., Le, T. P., Bloom, S. A., Keith, J. M., &amp; Kompas, T. (2023). Reconstructing the dynamics of managed populations to estimate the impact of citizen surveillance. </w:t>
      </w:r>
      <w:r w:rsidRPr="00F604D9">
        <w:rPr>
          <w:i/>
          <w:iCs/>
          <w:lang w:val="it-IT"/>
        </w:rPr>
        <w:t>Ecological Modelling</w:t>
      </w:r>
      <w:r w:rsidRPr="00F604D9">
        <w:rPr>
          <w:lang w:val="it-IT"/>
        </w:rPr>
        <w:t>,</w:t>
      </w:r>
      <w:r w:rsidRPr="00F604D9">
        <w:rPr>
          <w:i/>
          <w:iCs/>
          <w:lang w:val="it-IT"/>
        </w:rPr>
        <w:t xml:space="preserve"> 475</w:t>
      </w:r>
      <w:r w:rsidRPr="00F604D9">
        <w:rPr>
          <w:lang w:val="it-IT"/>
        </w:rPr>
        <w:t>, 110205. https://doi.org/https://doi.org/10.1016/j.ecolmodel.2022.110205</w:t>
      </w:r>
    </w:p>
    <w:p w14:paraId="1AEB3FE3" w14:textId="1660B126" w:rsidR="007544A4" w:rsidRDefault="007825CA" w:rsidP="007F67D2">
      <w:pPr>
        <w:spacing w:line="240" w:lineRule="auto"/>
        <w:ind w:left="426" w:hanging="426"/>
      </w:pPr>
      <w:r>
        <w:t>Tsigas</w:t>
      </w:r>
      <w:r w:rsidR="007544A4">
        <w:t xml:space="preserve">, M., Giamalva, J., Grossman, N. Kowalski, J. ( ). </w:t>
      </w:r>
      <w:r w:rsidR="007544A4" w:rsidRPr="007544A4">
        <w:t>Commodity Trade Analysis in a General Equilibrium Framework BSE Restrictions on Beef Imports from the United States and Canada</w:t>
      </w:r>
      <w:r w:rsidR="007544A4">
        <w:t xml:space="preserve">, </w:t>
      </w:r>
      <w:r w:rsidR="007544A4" w:rsidRPr="007544A4">
        <w:t>Office of Economics and Office of Industries U.S. International Trade Commission</w:t>
      </w:r>
      <w:r w:rsidR="007544A4">
        <w:t>.</w:t>
      </w:r>
      <w:r w:rsidR="00AB76FB">
        <w:t xml:space="preserve"> </w:t>
      </w:r>
      <w:hyperlink r:id="rId43" w:history="1">
        <w:r w:rsidR="00AB76FB" w:rsidRPr="00AB76FB">
          <w:rPr>
            <w:rStyle w:val="Hyperlink"/>
          </w:rPr>
          <w:t>Microsoft Word - 4930284A-3DBD-08B640.doc</w:t>
        </w:r>
      </w:hyperlink>
    </w:p>
    <w:p w14:paraId="7162BE63" w14:textId="63A11BAB" w:rsidR="00161DDD" w:rsidRPr="005229F9" w:rsidRDefault="00161DDD" w:rsidP="007F67D2">
      <w:pPr>
        <w:spacing w:line="240" w:lineRule="auto"/>
        <w:ind w:left="426" w:hanging="426"/>
      </w:pPr>
      <w:r w:rsidRPr="005229F9">
        <w:t xml:space="preserve">World Fund Advisory Committee. 2024. </w:t>
      </w:r>
      <w:r w:rsidRPr="00286DB4">
        <w:t>19th World Fund Advisory Committee Meeting</w:t>
      </w:r>
      <w:r w:rsidRPr="005229F9">
        <w:t>. Paris: World Organisation for Animal Health.</w:t>
      </w:r>
    </w:p>
    <w:p w14:paraId="2625D23B" w14:textId="77777777" w:rsidR="003613CA" w:rsidRDefault="003613CA" w:rsidP="007F67D2">
      <w:pPr>
        <w:spacing w:line="240" w:lineRule="auto"/>
        <w:ind w:left="426" w:hanging="426"/>
      </w:pPr>
      <w:r w:rsidRPr="00D052DD">
        <w:t xml:space="preserve">WOAH ad hoc Group on the Revision of BSE Standards and the Impact of this Revision on the Official Status Recognition. 2021. Report of the Virtual meeting from </w:t>
      </w:r>
      <w:hyperlink r:id="rId44" w:history="1">
        <w:r w:rsidRPr="00D052DD">
          <w:rPr>
            <w:rStyle w:val="Hyperlink"/>
          </w:rPr>
          <w:t>https://www.woah.org/app/uploads/2022/02/a-report-ahg-rev-bse-impact-assessment-june2021.pdf</w:t>
        </w:r>
      </w:hyperlink>
      <w:r w:rsidRPr="00D052DD">
        <w:t xml:space="preserve">  </w:t>
      </w:r>
    </w:p>
    <w:p w14:paraId="1DE1E183" w14:textId="462575D2" w:rsidR="00945FDF" w:rsidRPr="003F14BF" w:rsidRDefault="00945FDF" w:rsidP="007F67D2">
      <w:pPr>
        <w:spacing w:line="240" w:lineRule="auto"/>
        <w:ind w:left="426" w:hanging="426"/>
      </w:pPr>
      <w:r w:rsidRPr="003F14BF">
        <w:t xml:space="preserve">WOAH (World Organisation for Animal Health) (2023a). Bovine spongiform encephalopathy. Available from </w:t>
      </w:r>
      <w:hyperlink r:id="rId45" w:history="1">
        <w:r w:rsidR="002D29EF" w:rsidRPr="009C2DAC">
          <w:rPr>
            <w:rStyle w:val="Hyperlink"/>
          </w:rPr>
          <w:t>https://www.woah.org/en/disease/bovine-spongiform-encephalopathy/</w:t>
        </w:r>
      </w:hyperlink>
      <w:r w:rsidR="002D29EF">
        <w:t xml:space="preserve"> </w:t>
      </w:r>
    </w:p>
    <w:p w14:paraId="7D9522EC" w14:textId="56E2D610" w:rsidR="00945FDF" w:rsidRPr="003F14BF" w:rsidRDefault="00945FDF" w:rsidP="007F67D2">
      <w:pPr>
        <w:spacing w:line="240" w:lineRule="auto"/>
        <w:ind w:left="426" w:hanging="426"/>
      </w:pPr>
      <w:r w:rsidRPr="003F14BF">
        <w:t xml:space="preserve">WOAH (2024). </w:t>
      </w:r>
      <w:r w:rsidRPr="003F14BF">
        <w:rPr>
          <w:i/>
        </w:rPr>
        <w:t>Terrestrial Animal Health Code</w:t>
      </w:r>
      <w:r w:rsidRPr="003F14BF">
        <w:t xml:space="preserve">. Available from </w:t>
      </w:r>
      <w:hyperlink r:id="rId46" w:history="1">
        <w:r w:rsidR="002D29EF" w:rsidRPr="009C2DAC">
          <w:rPr>
            <w:rStyle w:val="Hyperlink"/>
          </w:rPr>
          <w:t>https://www.woah.org/en/what-we-do/standards/codes-and-manuals/terrestrial-code-online-access/</w:t>
        </w:r>
      </w:hyperlink>
      <w:r w:rsidR="002D29EF">
        <w:t xml:space="preserve"> </w:t>
      </w:r>
    </w:p>
    <w:p w14:paraId="00CADC10" w14:textId="360DA601" w:rsidR="005229F9" w:rsidRPr="005229F9" w:rsidRDefault="005A2A0D" w:rsidP="003C22C2">
      <w:pPr>
        <w:spacing w:line="240" w:lineRule="auto"/>
      </w:pPr>
      <w:r>
        <w:fldChar w:fldCharType="begin"/>
      </w:r>
      <w:r>
        <w:instrText xml:space="preserve"> ADDIN EN.REFLIST </w:instrText>
      </w:r>
      <w:r>
        <w:fldChar w:fldCharType="separate"/>
      </w:r>
    </w:p>
    <w:p w14:paraId="338FA9FB" w14:textId="77777777" w:rsidR="005229F9" w:rsidRPr="005229F9" w:rsidRDefault="005229F9" w:rsidP="00286DB4">
      <w:pPr>
        <w:spacing w:line="240" w:lineRule="auto"/>
      </w:pPr>
    </w:p>
    <w:p w14:paraId="547FB417" w14:textId="39710169" w:rsidR="00286DB4" w:rsidRDefault="005A2A0D" w:rsidP="00286DB4">
      <w:pPr>
        <w:spacing w:line="240" w:lineRule="auto"/>
      </w:pPr>
      <w:r>
        <w:fldChar w:fldCharType="end"/>
      </w:r>
    </w:p>
    <w:p w14:paraId="433B5E34" w14:textId="77777777" w:rsidR="0052738D" w:rsidRDefault="0052738D">
      <w:pPr>
        <w:spacing w:before="0" w:after="0" w:line="240" w:lineRule="auto"/>
        <w:jc w:val="left"/>
        <w:sectPr w:rsidR="0052738D" w:rsidSect="00F67119">
          <w:pgSz w:w="11906" w:h="16838"/>
          <w:pgMar w:top="1440" w:right="1800" w:bottom="1440" w:left="1800" w:header="720" w:footer="720" w:gutter="0"/>
          <w:cols w:space="720"/>
          <w:docGrid w:linePitch="326"/>
        </w:sectPr>
      </w:pPr>
    </w:p>
    <w:p w14:paraId="71E774CB" w14:textId="77777777" w:rsidR="00DE5569" w:rsidRDefault="00286DB4" w:rsidP="000024FA">
      <w:pPr>
        <w:pStyle w:val="Heading1"/>
        <w:sectPr w:rsidR="00DE5569" w:rsidSect="00DE5569">
          <w:pgSz w:w="11906" w:h="16838"/>
          <w:pgMar w:top="1440" w:right="1800" w:bottom="1440" w:left="1800" w:header="720" w:footer="720" w:gutter="0"/>
          <w:cols w:space="720"/>
          <w:docGrid w:linePitch="326"/>
        </w:sectPr>
      </w:pPr>
      <w:bookmarkStart w:id="86" w:name="_Toc184311762"/>
      <w:bookmarkStart w:id="87" w:name="_Toc206083801"/>
      <w:r>
        <w:lastRenderedPageBreak/>
        <w:t>Appendix A</w:t>
      </w:r>
      <w:r w:rsidR="00105FFB">
        <w:t xml:space="preserve"> Calculations</w:t>
      </w:r>
      <w:bookmarkEnd w:id="86"/>
      <w:bookmarkEnd w:id="87"/>
    </w:p>
    <w:p w14:paraId="211B9006" w14:textId="401322CD" w:rsidR="00C802BD" w:rsidRDefault="00C802BD" w:rsidP="00DE5569"/>
    <w:p w14:paraId="228FBEE8" w14:textId="4718895B" w:rsidR="00286DB4" w:rsidRDefault="00286DB4" w:rsidP="00BE57D0">
      <w:pPr>
        <w:pStyle w:val="Caption"/>
      </w:pPr>
      <w:bookmarkStart w:id="88" w:name="_Toc206083806"/>
      <w:r>
        <w:t xml:space="preserve">Table </w:t>
      </w:r>
      <w:r w:rsidR="00F64BE7">
        <w:fldChar w:fldCharType="begin"/>
      </w:r>
      <w:r w:rsidR="00F64BE7">
        <w:instrText xml:space="preserve"> SEQ Table \* ARABIC </w:instrText>
      </w:r>
      <w:r w:rsidR="00F64BE7">
        <w:fldChar w:fldCharType="separate"/>
      </w:r>
      <w:r w:rsidR="003D357A">
        <w:rPr>
          <w:noProof/>
        </w:rPr>
        <w:t>5</w:t>
      </w:r>
      <w:r w:rsidR="00F64BE7">
        <w:fldChar w:fldCharType="end"/>
      </w:r>
      <w:r>
        <w:t xml:space="preserve">. Variables, parameters and formulas used to calculate costs of </w:t>
      </w:r>
      <w:r w:rsidR="002E7E77">
        <w:t xml:space="preserve">engagement in </w:t>
      </w:r>
      <w:r>
        <w:t>ISS</w:t>
      </w:r>
      <w:bookmarkEnd w:id="88"/>
    </w:p>
    <w:tbl>
      <w:tblPr>
        <w:tblStyle w:val="TableGrid"/>
        <w:tblW w:w="9251" w:type="dxa"/>
        <w:tblBorders>
          <w:left w:val="none" w:sz="0" w:space="0" w:color="auto"/>
          <w:right w:val="none" w:sz="0" w:space="0" w:color="auto"/>
          <w:insideV w:val="none" w:sz="0" w:space="0" w:color="auto"/>
        </w:tblBorders>
        <w:tblLook w:val="04A0" w:firstRow="1" w:lastRow="0" w:firstColumn="1" w:lastColumn="0" w:noHBand="0" w:noVBand="1"/>
      </w:tblPr>
      <w:tblGrid>
        <w:gridCol w:w="4395"/>
        <w:gridCol w:w="920"/>
        <w:gridCol w:w="3936"/>
      </w:tblGrid>
      <w:tr w:rsidR="00286DB4" w:rsidRPr="00E00417" w14:paraId="4728C2A3" w14:textId="77777777" w:rsidTr="002427E5">
        <w:tc>
          <w:tcPr>
            <w:tcW w:w="4395" w:type="dxa"/>
            <w:tcBorders>
              <w:top w:val="single" w:sz="12" w:space="0" w:color="auto"/>
              <w:bottom w:val="single" w:sz="6" w:space="0" w:color="auto"/>
            </w:tcBorders>
          </w:tcPr>
          <w:p w14:paraId="7F9B9654" w14:textId="77777777" w:rsidR="00286DB4" w:rsidRPr="00E00417" w:rsidRDefault="00286DB4" w:rsidP="00636B4C">
            <w:pPr>
              <w:spacing w:before="20" w:after="20" w:line="240" w:lineRule="auto"/>
              <w:rPr>
                <w:sz w:val="20"/>
                <w:szCs w:val="20"/>
              </w:rPr>
            </w:pPr>
            <w:r w:rsidRPr="00E00417">
              <w:rPr>
                <w:sz w:val="20"/>
                <w:szCs w:val="20"/>
              </w:rPr>
              <w:t>Parameter/Variable</w:t>
            </w:r>
          </w:p>
        </w:tc>
        <w:tc>
          <w:tcPr>
            <w:tcW w:w="920" w:type="dxa"/>
            <w:tcBorders>
              <w:top w:val="single" w:sz="12" w:space="0" w:color="auto"/>
              <w:bottom w:val="single" w:sz="6" w:space="0" w:color="auto"/>
            </w:tcBorders>
          </w:tcPr>
          <w:p w14:paraId="0EE322BC" w14:textId="77777777" w:rsidR="00286DB4" w:rsidRPr="00E00417" w:rsidRDefault="00286DB4" w:rsidP="00636B4C">
            <w:pPr>
              <w:spacing w:before="20" w:after="20" w:line="240" w:lineRule="auto"/>
              <w:rPr>
                <w:sz w:val="20"/>
                <w:szCs w:val="20"/>
              </w:rPr>
            </w:pPr>
            <w:r w:rsidRPr="00E00417">
              <w:rPr>
                <w:sz w:val="20"/>
                <w:szCs w:val="20"/>
              </w:rPr>
              <w:t>Notation</w:t>
            </w:r>
          </w:p>
        </w:tc>
        <w:tc>
          <w:tcPr>
            <w:tcW w:w="3936" w:type="dxa"/>
            <w:tcBorders>
              <w:top w:val="single" w:sz="12" w:space="0" w:color="auto"/>
              <w:bottom w:val="single" w:sz="6" w:space="0" w:color="auto"/>
            </w:tcBorders>
          </w:tcPr>
          <w:p w14:paraId="3AB8307B" w14:textId="77777777" w:rsidR="00286DB4" w:rsidRPr="00E00417" w:rsidRDefault="00286DB4" w:rsidP="00B8118A">
            <w:pPr>
              <w:spacing w:before="20" w:after="20" w:line="240" w:lineRule="auto"/>
              <w:ind w:left="251"/>
              <w:jc w:val="left"/>
              <w:rPr>
                <w:sz w:val="20"/>
                <w:szCs w:val="20"/>
              </w:rPr>
            </w:pPr>
            <w:r w:rsidRPr="00E00417">
              <w:rPr>
                <w:sz w:val="20"/>
                <w:szCs w:val="20"/>
              </w:rPr>
              <w:t>Calculation</w:t>
            </w:r>
          </w:p>
        </w:tc>
      </w:tr>
      <w:tr w:rsidR="00346A8E" w:rsidRPr="00E00417" w14:paraId="15759C83" w14:textId="77777777" w:rsidTr="002427E5">
        <w:tc>
          <w:tcPr>
            <w:tcW w:w="4395" w:type="dxa"/>
            <w:tcBorders>
              <w:top w:val="single" w:sz="6" w:space="0" w:color="D9D9D9" w:themeColor="background1" w:themeShade="D9"/>
              <w:bottom w:val="single" w:sz="4" w:space="0" w:color="auto"/>
            </w:tcBorders>
          </w:tcPr>
          <w:p w14:paraId="3A788C96" w14:textId="1CA2CEEE" w:rsidR="00346A8E" w:rsidRDefault="00346A8E" w:rsidP="00346A8E">
            <w:pPr>
              <w:spacing w:before="40" w:after="40" w:line="240" w:lineRule="auto"/>
              <w:ind w:left="177"/>
              <w:rPr>
                <w:sz w:val="20"/>
                <w:szCs w:val="20"/>
              </w:rPr>
            </w:pPr>
            <w:r>
              <w:rPr>
                <w:sz w:val="20"/>
                <w:szCs w:val="20"/>
              </w:rPr>
              <w:t>Annual cost of WOAH membership</w:t>
            </w:r>
            <w:r w:rsidR="002427E5">
              <w:rPr>
                <w:sz w:val="20"/>
                <w:szCs w:val="20"/>
              </w:rPr>
              <w:t xml:space="preserve"> ($</w:t>
            </w:r>
          </w:p>
        </w:tc>
        <w:tc>
          <w:tcPr>
            <w:tcW w:w="920" w:type="dxa"/>
            <w:tcBorders>
              <w:top w:val="single" w:sz="6" w:space="0" w:color="D9D9D9" w:themeColor="background1" w:themeShade="D9"/>
              <w:bottom w:val="single" w:sz="4" w:space="0" w:color="auto"/>
            </w:tcBorders>
          </w:tcPr>
          <w:p w14:paraId="3DB639FF" w14:textId="4EEF6F82" w:rsidR="00346A8E" w:rsidRDefault="00346A8E" w:rsidP="00346A8E">
            <w:pPr>
              <w:spacing w:before="40" w:after="40" w:line="240" w:lineRule="auto"/>
              <w:rPr>
                <w:i/>
                <w:sz w:val="20"/>
                <w:szCs w:val="20"/>
              </w:rPr>
            </w:pPr>
            <w:r>
              <w:rPr>
                <w:i/>
                <w:sz w:val="20"/>
                <w:szCs w:val="20"/>
              </w:rPr>
              <w:t>Mem</w:t>
            </w:r>
          </w:p>
        </w:tc>
        <w:tc>
          <w:tcPr>
            <w:tcW w:w="3936" w:type="dxa"/>
            <w:tcBorders>
              <w:top w:val="single" w:sz="6" w:space="0" w:color="D9D9D9" w:themeColor="background1" w:themeShade="D9"/>
              <w:bottom w:val="single" w:sz="4" w:space="0" w:color="auto"/>
            </w:tcBorders>
          </w:tcPr>
          <w:p w14:paraId="12DBCDDF" w14:textId="79067D59" w:rsidR="00346A8E" w:rsidRDefault="00346A8E" w:rsidP="00B8118A">
            <w:pPr>
              <w:spacing w:before="40" w:after="40" w:line="240" w:lineRule="auto"/>
              <w:ind w:left="251"/>
              <w:rPr>
                <w:i/>
                <w:sz w:val="20"/>
                <w:szCs w:val="20"/>
              </w:rPr>
            </w:pPr>
          </w:p>
        </w:tc>
      </w:tr>
      <w:tr w:rsidR="00346A8E" w:rsidRPr="00E00417" w14:paraId="0CB13710" w14:textId="77777777" w:rsidTr="002427E5">
        <w:tc>
          <w:tcPr>
            <w:tcW w:w="4395" w:type="dxa"/>
            <w:tcBorders>
              <w:top w:val="single" w:sz="6" w:space="0" w:color="D9D9D9" w:themeColor="background1" w:themeShade="D9"/>
              <w:bottom w:val="single" w:sz="4" w:space="0" w:color="auto"/>
            </w:tcBorders>
          </w:tcPr>
          <w:p w14:paraId="01F19EB6" w14:textId="5D197EBE" w:rsidR="00346A8E" w:rsidRDefault="00346A8E" w:rsidP="00346A8E">
            <w:pPr>
              <w:spacing w:before="40" w:after="40" w:line="240" w:lineRule="auto"/>
              <w:ind w:left="177"/>
              <w:rPr>
                <w:sz w:val="20"/>
                <w:szCs w:val="20"/>
              </w:rPr>
            </w:pPr>
            <w:r>
              <w:rPr>
                <w:sz w:val="20"/>
                <w:szCs w:val="20"/>
              </w:rPr>
              <w:t xml:space="preserve">Annual Australian </w:t>
            </w:r>
            <w:r w:rsidR="00ED4047">
              <w:rPr>
                <w:sz w:val="20"/>
                <w:szCs w:val="20"/>
              </w:rPr>
              <w:t xml:space="preserve">voluntary contributions </w:t>
            </w:r>
            <w:r>
              <w:rPr>
                <w:sz w:val="20"/>
                <w:szCs w:val="20"/>
              </w:rPr>
              <w:t>to WOAH</w:t>
            </w:r>
            <w:r w:rsidR="002427E5">
              <w:rPr>
                <w:sz w:val="20"/>
                <w:szCs w:val="20"/>
              </w:rPr>
              <w:t xml:space="preserve"> ($)</w:t>
            </w:r>
          </w:p>
        </w:tc>
        <w:tc>
          <w:tcPr>
            <w:tcW w:w="920" w:type="dxa"/>
            <w:tcBorders>
              <w:top w:val="single" w:sz="6" w:space="0" w:color="D9D9D9" w:themeColor="background1" w:themeShade="D9"/>
              <w:bottom w:val="single" w:sz="4" w:space="0" w:color="auto"/>
            </w:tcBorders>
          </w:tcPr>
          <w:p w14:paraId="2D62540E" w14:textId="58525F84" w:rsidR="00346A8E" w:rsidRDefault="00346A8E" w:rsidP="00346A8E">
            <w:pPr>
              <w:spacing w:before="40" w:after="40" w:line="240" w:lineRule="auto"/>
              <w:rPr>
                <w:i/>
                <w:sz w:val="20"/>
                <w:szCs w:val="20"/>
              </w:rPr>
            </w:pPr>
            <w:r>
              <w:rPr>
                <w:i/>
                <w:sz w:val="20"/>
                <w:szCs w:val="20"/>
              </w:rPr>
              <w:t>Dn</w:t>
            </w:r>
          </w:p>
        </w:tc>
        <w:tc>
          <w:tcPr>
            <w:tcW w:w="3936" w:type="dxa"/>
            <w:tcBorders>
              <w:top w:val="single" w:sz="6" w:space="0" w:color="D9D9D9" w:themeColor="background1" w:themeShade="D9"/>
              <w:bottom w:val="single" w:sz="4" w:space="0" w:color="auto"/>
            </w:tcBorders>
          </w:tcPr>
          <w:p w14:paraId="303F6FCF" w14:textId="0903B75F" w:rsidR="00346A8E" w:rsidRDefault="00346A8E" w:rsidP="00B8118A">
            <w:pPr>
              <w:spacing w:before="40" w:after="40" w:line="240" w:lineRule="auto"/>
              <w:ind w:left="251"/>
              <w:rPr>
                <w:i/>
                <w:sz w:val="20"/>
                <w:szCs w:val="20"/>
              </w:rPr>
            </w:pPr>
          </w:p>
        </w:tc>
      </w:tr>
      <w:tr w:rsidR="00346A8E" w:rsidRPr="00E00417" w14:paraId="0B02A5CD" w14:textId="77777777" w:rsidTr="002427E5">
        <w:tc>
          <w:tcPr>
            <w:tcW w:w="4395" w:type="dxa"/>
            <w:tcBorders>
              <w:top w:val="single" w:sz="6" w:space="0" w:color="D9D9D9" w:themeColor="background1" w:themeShade="D9"/>
              <w:bottom w:val="single" w:sz="6" w:space="0" w:color="D9D9D9" w:themeColor="background1" w:themeShade="D9"/>
            </w:tcBorders>
          </w:tcPr>
          <w:p w14:paraId="10B32B46" w14:textId="1550DC04" w:rsidR="00346A8E" w:rsidRDefault="00346A8E" w:rsidP="00346A8E">
            <w:pPr>
              <w:spacing w:before="40" w:after="40" w:line="240" w:lineRule="auto"/>
              <w:ind w:left="177"/>
              <w:rPr>
                <w:sz w:val="20"/>
                <w:szCs w:val="20"/>
              </w:rPr>
            </w:pPr>
            <w:r>
              <w:rPr>
                <w:sz w:val="20"/>
                <w:szCs w:val="20"/>
              </w:rPr>
              <w:t>Annual Travel costs</w:t>
            </w:r>
            <w:r w:rsidR="002427E5">
              <w:rPr>
                <w:sz w:val="20"/>
                <w:szCs w:val="20"/>
              </w:rPr>
              <w:t xml:space="preserve"> ($)</w:t>
            </w:r>
          </w:p>
        </w:tc>
        <w:tc>
          <w:tcPr>
            <w:tcW w:w="920" w:type="dxa"/>
            <w:tcBorders>
              <w:top w:val="single" w:sz="6" w:space="0" w:color="D9D9D9" w:themeColor="background1" w:themeShade="D9"/>
              <w:bottom w:val="single" w:sz="6" w:space="0" w:color="D9D9D9" w:themeColor="background1" w:themeShade="D9"/>
            </w:tcBorders>
          </w:tcPr>
          <w:p w14:paraId="448FD42D" w14:textId="557F8BDB" w:rsidR="00346A8E" w:rsidRDefault="00346A8E" w:rsidP="00346A8E">
            <w:pPr>
              <w:spacing w:before="40" w:after="40" w:line="240" w:lineRule="auto"/>
              <w:rPr>
                <w:i/>
                <w:sz w:val="20"/>
                <w:szCs w:val="20"/>
              </w:rPr>
            </w:pPr>
            <w:r>
              <w:rPr>
                <w:i/>
                <w:sz w:val="20"/>
                <w:szCs w:val="20"/>
              </w:rPr>
              <w:t>Tr</w:t>
            </w:r>
          </w:p>
        </w:tc>
        <w:tc>
          <w:tcPr>
            <w:tcW w:w="3936" w:type="dxa"/>
            <w:tcBorders>
              <w:top w:val="single" w:sz="6" w:space="0" w:color="D9D9D9" w:themeColor="background1" w:themeShade="D9"/>
              <w:bottom w:val="single" w:sz="6" w:space="0" w:color="D9D9D9" w:themeColor="background1" w:themeShade="D9"/>
            </w:tcBorders>
          </w:tcPr>
          <w:p w14:paraId="5CCBA195" w14:textId="6E9E6AAF" w:rsidR="00346A8E" w:rsidRDefault="00346A8E" w:rsidP="00B8118A">
            <w:pPr>
              <w:spacing w:before="40" w:after="40" w:line="240" w:lineRule="auto"/>
              <w:ind w:left="251"/>
              <w:rPr>
                <w:i/>
                <w:sz w:val="20"/>
                <w:szCs w:val="20"/>
              </w:rPr>
            </w:pPr>
          </w:p>
        </w:tc>
      </w:tr>
      <w:tr w:rsidR="005A77F6" w:rsidRPr="00E00417" w14:paraId="5776E474" w14:textId="77777777" w:rsidTr="002427E5">
        <w:tc>
          <w:tcPr>
            <w:tcW w:w="4395" w:type="dxa"/>
            <w:tcBorders>
              <w:top w:val="single" w:sz="6" w:space="0" w:color="D9D9D9" w:themeColor="background1" w:themeShade="D9"/>
              <w:bottom w:val="single" w:sz="6" w:space="0" w:color="D9D9D9" w:themeColor="background1" w:themeShade="D9"/>
            </w:tcBorders>
          </w:tcPr>
          <w:p w14:paraId="292E8E13" w14:textId="70B0C874" w:rsidR="005A77F6" w:rsidRDefault="005A77F6" w:rsidP="00346A8E">
            <w:pPr>
              <w:spacing w:before="40" w:after="40" w:line="240" w:lineRule="auto"/>
              <w:ind w:left="177"/>
              <w:rPr>
                <w:sz w:val="20"/>
                <w:szCs w:val="20"/>
              </w:rPr>
            </w:pPr>
            <w:r>
              <w:rPr>
                <w:sz w:val="20"/>
                <w:szCs w:val="20"/>
              </w:rPr>
              <w:t>Annual DAFF salary costs ($)</w:t>
            </w:r>
          </w:p>
        </w:tc>
        <w:tc>
          <w:tcPr>
            <w:tcW w:w="920" w:type="dxa"/>
            <w:tcBorders>
              <w:top w:val="single" w:sz="6" w:space="0" w:color="D9D9D9" w:themeColor="background1" w:themeShade="D9"/>
              <w:bottom w:val="single" w:sz="6" w:space="0" w:color="D9D9D9" w:themeColor="background1" w:themeShade="D9"/>
            </w:tcBorders>
          </w:tcPr>
          <w:p w14:paraId="7A0D3D80" w14:textId="00DA6597" w:rsidR="005A77F6" w:rsidRDefault="005A77F6" w:rsidP="00346A8E">
            <w:pPr>
              <w:spacing w:before="40" w:after="40" w:line="240" w:lineRule="auto"/>
              <w:rPr>
                <w:i/>
                <w:sz w:val="20"/>
                <w:szCs w:val="20"/>
              </w:rPr>
            </w:pPr>
            <w:r>
              <w:rPr>
                <w:i/>
                <w:sz w:val="20"/>
                <w:szCs w:val="20"/>
              </w:rPr>
              <w:t>Sal</w:t>
            </w:r>
          </w:p>
        </w:tc>
        <w:tc>
          <w:tcPr>
            <w:tcW w:w="3936" w:type="dxa"/>
            <w:tcBorders>
              <w:top w:val="single" w:sz="6" w:space="0" w:color="D9D9D9" w:themeColor="background1" w:themeShade="D9"/>
              <w:bottom w:val="single" w:sz="6" w:space="0" w:color="D9D9D9" w:themeColor="background1" w:themeShade="D9"/>
            </w:tcBorders>
          </w:tcPr>
          <w:p w14:paraId="68FD4618" w14:textId="77777777" w:rsidR="005A77F6" w:rsidRDefault="005A77F6" w:rsidP="00B8118A">
            <w:pPr>
              <w:spacing w:before="40" w:after="40" w:line="240" w:lineRule="auto"/>
              <w:ind w:left="251"/>
              <w:rPr>
                <w:i/>
                <w:sz w:val="20"/>
                <w:szCs w:val="20"/>
              </w:rPr>
            </w:pPr>
          </w:p>
        </w:tc>
      </w:tr>
      <w:tr w:rsidR="000F28BD" w:rsidRPr="00E00417" w14:paraId="1A67B93C" w14:textId="77777777" w:rsidTr="002427E5">
        <w:tc>
          <w:tcPr>
            <w:tcW w:w="4395" w:type="dxa"/>
            <w:tcBorders>
              <w:top w:val="single" w:sz="6" w:space="0" w:color="D9D9D9" w:themeColor="background1" w:themeShade="D9"/>
              <w:bottom w:val="single" w:sz="4" w:space="0" w:color="auto"/>
            </w:tcBorders>
          </w:tcPr>
          <w:p w14:paraId="4938FF35" w14:textId="76754AE2" w:rsidR="000F28BD" w:rsidRPr="00E00417" w:rsidRDefault="000F28BD" w:rsidP="00EA58F4">
            <w:pPr>
              <w:spacing w:before="40" w:after="40" w:line="240" w:lineRule="auto"/>
              <w:rPr>
                <w:b/>
                <w:sz w:val="20"/>
                <w:szCs w:val="20"/>
              </w:rPr>
            </w:pPr>
            <w:r w:rsidRPr="00E00417">
              <w:rPr>
                <w:sz w:val="20"/>
                <w:szCs w:val="20"/>
              </w:rPr>
              <w:t xml:space="preserve">Total (undiscounted) value of </w:t>
            </w:r>
            <w:r>
              <w:rPr>
                <w:sz w:val="20"/>
                <w:szCs w:val="20"/>
              </w:rPr>
              <w:t>engagement</w:t>
            </w:r>
            <w:r w:rsidR="002427E5">
              <w:rPr>
                <w:sz w:val="20"/>
                <w:szCs w:val="20"/>
              </w:rPr>
              <w:t xml:space="preserve"> ($)</w:t>
            </w:r>
          </w:p>
        </w:tc>
        <w:tc>
          <w:tcPr>
            <w:tcW w:w="920" w:type="dxa"/>
            <w:tcBorders>
              <w:top w:val="single" w:sz="6" w:space="0" w:color="D9D9D9" w:themeColor="background1" w:themeShade="D9"/>
              <w:bottom w:val="single" w:sz="4" w:space="0" w:color="auto"/>
            </w:tcBorders>
          </w:tcPr>
          <w:p w14:paraId="2AA36793" w14:textId="77777777" w:rsidR="000F28BD" w:rsidRPr="00CE74C9" w:rsidRDefault="000F28BD" w:rsidP="00EA58F4">
            <w:pPr>
              <w:spacing w:before="40" w:after="40" w:line="240" w:lineRule="auto"/>
              <w:rPr>
                <w:i/>
                <w:sz w:val="20"/>
                <w:szCs w:val="20"/>
              </w:rPr>
            </w:pPr>
            <w:r w:rsidRPr="00CE74C9">
              <w:rPr>
                <w:i/>
                <w:sz w:val="20"/>
                <w:szCs w:val="20"/>
              </w:rPr>
              <w:t>CE</w:t>
            </w:r>
          </w:p>
        </w:tc>
        <w:tc>
          <w:tcPr>
            <w:tcW w:w="3936" w:type="dxa"/>
            <w:tcBorders>
              <w:top w:val="single" w:sz="6" w:space="0" w:color="D9D9D9" w:themeColor="background1" w:themeShade="D9"/>
              <w:bottom w:val="single" w:sz="4" w:space="0" w:color="auto"/>
            </w:tcBorders>
          </w:tcPr>
          <w:p w14:paraId="59C94BA4" w14:textId="318F5DB8" w:rsidR="000F28BD" w:rsidRPr="00E00417" w:rsidRDefault="000F28BD" w:rsidP="00B8118A">
            <w:pPr>
              <w:spacing w:before="40" w:after="40" w:line="240" w:lineRule="auto"/>
              <w:ind w:left="251"/>
              <w:rPr>
                <w:sz w:val="20"/>
                <w:szCs w:val="20"/>
              </w:rPr>
            </w:pPr>
            <m:oMathPara>
              <m:oMath>
                <m:r>
                  <w:rPr>
                    <w:rFonts w:ascii="Cambria Math" w:hAnsi="Cambria Math"/>
                    <w:sz w:val="20"/>
                    <w:szCs w:val="20"/>
                  </w:rPr>
                  <m:t>CE=Mem+Dn+Tr+Sal</m:t>
                </m:r>
              </m:oMath>
            </m:oMathPara>
          </w:p>
        </w:tc>
      </w:tr>
    </w:tbl>
    <w:p w14:paraId="369899A7" w14:textId="288F8D91" w:rsidR="009661A6" w:rsidRDefault="009661A6" w:rsidP="000354A2">
      <w:pPr>
        <w:spacing w:line="240" w:lineRule="auto"/>
        <w:jc w:val="left"/>
        <w:rPr>
          <w:sz w:val="20"/>
          <w:szCs w:val="20"/>
        </w:rPr>
      </w:pPr>
    </w:p>
    <w:p w14:paraId="2636B05F" w14:textId="77777777" w:rsidR="009661A6" w:rsidRDefault="009661A6">
      <w:pPr>
        <w:spacing w:before="0" w:after="0" w:line="240" w:lineRule="auto"/>
        <w:jc w:val="left"/>
        <w:rPr>
          <w:sz w:val="20"/>
          <w:szCs w:val="20"/>
        </w:rPr>
      </w:pPr>
      <w:r>
        <w:rPr>
          <w:sz w:val="20"/>
          <w:szCs w:val="20"/>
        </w:rPr>
        <w:br w:type="page"/>
      </w:r>
    </w:p>
    <w:p w14:paraId="763FBF33" w14:textId="7E98592D" w:rsidR="000C0D5D" w:rsidRDefault="000C0D5D" w:rsidP="000C0D5D">
      <w:pPr>
        <w:pStyle w:val="Caption"/>
      </w:pPr>
      <w:bookmarkStart w:id="89" w:name="_Toc206083807"/>
      <w:r>
        <w:lastRenderedPageBreak/>
        <w:t xml:space="preserve">Table </w:t>
      </w:r>
      <w:r w:rsidR="00F64BE7">
        <w:fldChar w:fldCharType="begin"/>
      </w:r>
      <w:r w:rsidR="00F64BE7">
        <w:instrText xml:space="preserve"> SEQ Table \* ARABIC </w:instrText>
      </w:r>
      <w:r w:rsidR="00F64BE7">
        <w:fldChar w:fldCharType="separate"/>
      </w:r>
      <w:r w:rsidR="003D357A">
        <w:rPr>
          <w:noProof/>
        </w:rPr>
        <w:t>6</w:t>
      </w:r>
      <w:r w:rsidR="00F64BE7">
        <w:fldChar w:fldCharType="end"/>
      </w:r>
      <w:r>
        <w:t xml:space="preserve">. Variables, parameters and formulas used to calculate </w:t>
      </w:r>
      <w:r w:rsidR="001C7D8C">
        <w:t>avoided negative outcomes</w:t>
      </w:r>
      <w:bookmarkEnd w:id="89"/>
    </w:p>
    <w:tbl>
      <w:tblPr>
        <w:tblStyle w:val="TableGrid"/>
        <w:tblW w:w="14176" w:type="dxa"/>
        <w:tblBorders>
          <w:left w:val="none" w:sz="0" w:space="0" w:color="auto"/>
          <w:right w:val="none" w:sz="0" w:space="0" w:color="auto"/>
          <w:insideV w:val="none" w:sz="0" w:space="0" w:color="auto"/>
        </w:tblBorders>
        <w:tblLook w:val="04A0" w:firstRow="1" w:lastRow="0" w:firstColumn="1" w:lastColumn="0" w:noHBand="0" w:noVBand="1"/>
      </w:tblPr>
      <w:tblGrid>
        <w:gridCol w:w="4536"/>
        <w:gridCol w:w="992"/>
        <w:gridCol w:w="284"/>
        <w:gridCol w:w="8080"/>
        <w:gridCol w:w="284"/>
      </w:tblGrid>
      <w:tr w:rsidR="008240B7" w:rsidRPr="00E00417" w14:paraId="1ED63D1B" w14:textId="77777777" w:rsidTr="0052738D">
        <w:trPr>
          <w:gridAfter w:val="1"/>
          <w:wAfter w:w="284" w:type="dxa"/>
        </w:trPr>
        <w:tc>
          <w:tcPr>
            <w:tcW w:w="4536" w:type="dxa"/>
            <w:tcBorders>
              <w:top w:val="single" w:sz="12" w:space="0" w:color="auto"/>
              <w:bottom w:val="single" w:sz="6" w:space="0" w:color="auto"/>
            </w:tcBorders>
          </w:tcPr>
          <w:p w14:paraId="069700D7" w14:textId="77777777" w:rsidR="008240B7" w:rsidRPr="00E00417" w:rsidRDefault="008240B7" w:rsidP="00636B4C">
            <w:pPr>
              <w:spacing w:before="20" w:after="20" w:line="240" w:lineRule="auto"/>
              <w:rPr>
                <w:sz w:val="20"/>
                <w:szCs w:val="20"/>
              </w:rPr>
            </w:pPr>
            <w:r w:rsidRPr="00E00417">
              <w:rPr>
                <w:sz w:val="20"/>
                <w:szCs w:val="20"/>
              </w:rPr>
              <w:t>Parameter/Variable</w:t>
            </w:r>
          </w:p>
        </w:tc>
        <w:tc>
          <w:tcPr>
            <w:tcW w:w="992" w:type="dxa"/>
            <w:tcBorders>
              <w:top w:val="single" w:sz="12" w:space="0" w:color="auto"/>
              <w:bottom w:val="single" w:sz="6" w:space="0" w:color="auto"/>
            </w:tcBorders>
          </w:tcPr>
          <w:p w14:paraId="6A07EE93" w14:textId="77777777" w:rsidR="008240B7" w:rsidRPr="00E00417" w:rsidRDefault="008240B7" w:rsidP="00636B4C">
            <w:pPr>
              <w:spacing w:before="20" w:after="20" w:line="240" w:lineRule="auto"/>
              <w:ind w:left="34"/>
              <w:rPr>
                <w:sz w:val="20"/>
                <w:szCs w:val="20"/>
              </w:rPr>
            </w:pPr>
            <w:r w:rsidRPr="00E00417">
              <w:rPr>
                <w:sz w:val="20"/>
                <w:szCs w:val="20"/>
              </w:rPr>
              <w:t>Notation</w:t>
            </w:r>
          </w:p>
        </w:tc>
        <w:tc>
          <w:tcPr>
            <w:tcW w:w="8364" w:type="dxa"/>
            <w:gridSpan w:val="2"/>
            <w:tcBorders>
              <w:top w:val="single" w:sz="12" w:space="0" w:color="auto"/>
              <w:bottom w:val="single" w:sz="6" w:space="0" w:color="auto"/>
            </w:tcBorders>
          </w:tcPr>
          <w:p w14:paraId="441CC59F" w14:textId="7F86BF3F" w:rsidR="008240B7" w:rsidRPr="00E00417" w:rsidRDefault="008240B7" w:rsidP="0052738D">
            <w:pPr>
              <w:spacing w:before="20" w:after="20" w:line="240" w:lineRule="auto"/>
              <w:ind w:left="602"/>
              <w:jc w:val="left"/>
              <w:rPr>
                <w:sz w:val="20"/>
                <w:szCs w:val="20"/>
              </w:rPr>
            </w:pPr>
            <w:r>
              <w:rPr>
                <w:sz w:val="20"/>
                <w:szCs w:val="20"/>
              </w:rPr>
              <w:t>Calculation</w:t>
            </w:r>
          </w:p>
        </w:tc>
      </w:tr>
      <w:tr w:rsidR="008240B7" w:rsidRPr="00E00417" w14:paraId="3E5BC772" w14:textId="77777777" w:rsidTr="006850E8">
        <w:trPr>
          <w:gridAfter w:val="1"/>
          <w:wAfter w:w="284" w:type="dxa"/>
          <w:trHeight w:val="397"/>
        </w:trPr>
        <w:tc>
          <w:tcPr>
            <w:tcW w:w="4536" w:type="dxa"/>
            <w:tcBorders>
              <w:top w:val="single" w:sz="6" w:space="0" w:color="D9D9D9" w:themeColor="background1" w:themeShade="D9"/>
              <w:bottom w:val="single" w:sz="6" w:space="0" w:color="BFBFBF" w:themeColor="background1" w:themeShade="BF"/>
            </w:tcBorders>
          </w:tcPr>
          <w:p w14:paraId="1BF2EE35" w14:textId="79602789" w:rsidR="008240B7" w:rsidRPr="00E00417" w:rsidRDefault="0063288F" w:rsidP="00636B4C">
            <w:pPr>
              <w:spacing w:before="40" w:after="40" w:line="240" w:lineRule="auto"/>
              <w:rPr>
                <w:b/>
                <w:sz w:val="20"/>
                <w:szCs w:val="20"/>
              </w:rPr>
            </w:pPr>
            <w:r>
              <w:rPr>
                <w:b/>
                <w:sz w:val="20"/>
                <w:szCs w:val="20"/>
              </w:rPr>
              <w:t xml:space="preserve">1. </w:t>
            </w:r>
            <w:r w:rsidR="008240B7" w:rsidRPr="00E00417">
              <w:rPr>
                <w:b/>
                <w:sz w:val="20"/>
                <w:szCs w:val="20"/>
              </w:rPr>
              <w:t>Loss of negligible risk status</w:t>
            </w:r>
          </w:p>
        </w:tc>
        <w:tc>
          <w:tcPr>
            <w:tcW w:w="992" w:type="dxa"/>
            <w:tcBorders>
              <w:top w:val="single" w:sz="6" w:space="0" w:color="D9D9D9" w:themeColor="background1" w:themeShade="D9"/>
              <w:bottom w:val="single" w:sz="6" w:space="0" w:color="BFBFBF" w:themeColor="background1" w:themeShade="BF"/>
            </w:tcBorders>
          </w:tcPr>
          <w:p w14:paraId="51A91FF9" w14:textId="77777777" w:rsidR="008240B7" w:rsidRPr="0037022C" w:rsidRDefault="008240B7" w:rsidP="00636B4C">
            <w:pPr>
              <w:spacing w:before="40" w:after="40" w:line="240" w:lineRule="auto"/>
              <w:ind w:left="34"/>
              <w:rPr>
                <w:i/>
                <w:sz w:val="20"/>
                <w:szCs w:val="20"/>
              </w:rPr>
            </w:pPr>
          </w:p>
        </w:tc>
        <w:tc>
          <w:tcPr>
            <w:tcW w:w="8364" w:type="dxa"/>
            <w:gridSpan w:val="2"/>
            <w:tcBorders>
              <w:top w:val="single" w:sz="6" w:space="0" w:color="D9D9D9" w:themeColor="background1" w:themeShade="D9"/>
              <w:bottom w:val="single" w:sz="6" w:space="0" w:color="BFBFBF" w:themeColor="background1" w:themeShade="BF"/>
            </w:tcBorders>
          </w:tcPr>
          <w:p w14:paraId="0C1C8D0C" w14:textId="77777777" w:rsidR="008240B7" w:rsidRPr="00E00417" w:rsidRDefault="008240B7" w:rsidP="0052738D">
            <w:pPr>
              <w:spacing w:before="40" w:after="40" w:line="240" w:lineRule="auto"/>
              <w:ind w:left="602"/>
              <w:jc w:val="left"/>
              <w:rPr>
                <w:sz w:val="20"/>
                <w:szCs w:val="20"/>
              </w:rPr>
            </w:pPr>
          </w:p>
        </w:tc>
      </w:tr>
      <w:tr w:rsidR="008240B7" w:rsidRPr="00E00417" w14:paraId="115C31E2" w14:textId="77777777" w:rsidTr="0052738D">
        <w:trPr>
          <w:gridAfter w:val="1"/>
          <w:wAfter w:w="284" w:type="dxa"/>
        </w:trPr>
        <w:tc>
          <w:tcPr>
            <w:tcW w:w="4536" w:type="dxa"/>
            <w:tcBorders>
              <w:top w:val="single" w:sz="6" w:space="0" w:color="BFBFBF" w:themeColor="background1" w:themeShade="BF"/>
              <w:bottom w:val="single" w:sz="6" w:space="0" w:color="BFBFBF" w:themeColor="background1" w:themeShade="BF"/>
            </w:tcBorders>
          </w:tcPr>
          <w:p w14:paraId="61FF4232" w14:textId="355E0723" w:rsidR="008240B7" w:rsidRPr="00E00417" w:rsidRDefault="008240B7" w:rsidP="00636B4C">
            <w:pPr>
              <w:spacing w:before="40" w:after="40" w:line="240" w:lineRule="auto"/>
              <w:ind w:left="113"/>
              <w:jc w:val="left"/>
              <w:rPr>
                <w:sz w:val="20"/>
                <w:szCs w:val="20"/>
              </w:rPr>
            </w:pPr>
            <w:r w:rsidRPr="00E00417">
              <w:rPr>
                <w:sz w:val="20"/>
                <w:szCs w:val="20"/>
              </w:rPr>
              <w:t xml:space="preserve">Value of live cattle exports </w:t>
            </w:r>
            <w:r>
              <w:rPr>
                <w:sz w:val="20"/>
                <w:szCs w:val="20"/>
              </w:rPr>
              <w:t>2023</w:t>
            </w:r>
            <w:r w:rsidR="00E9122D">
              <w:rPr>
                <w:sz w:val="20"/>
                <w:szCs w:val="20"/>
              </w:rPr>
              <w:t>-24</w:t>
            </w:r>
          </w:p>
        </w:tc>
        <w:tc>
          <w:tcPr>
            <w:tcW w:w="992" w:type="dxa"/>
            <w:tcBorders>
              <w:top w:val="single" w:sz="6" w:space="0" w:color="BFBFBF" w:themeColor="background1" w:themeShade="BF"/>
              <w:bottom w:val="single" w:sz="6" w:space="0" w:color="BFBFBF" w:themeColor="background1" w:themeShade="BF"/>
            </w:tcBorders>
          </w:tcPr>
          <w:p w14:paraId="189B5394" w14:textId="77777777" w:rsidR="008240B7" w:rsidRPr="00E00417" w:rsidRDefault="008240B7" w:rsidP="00636B4C">
            <w:pPr>
              <w:spacing w:before="40" w:after="40" w:line="240" w:lineRule="auto"/>
              <w:ind w:left="34"/>
              <w:rPr>
                <w:i/>
                <w:sz w:val="20"/>
                <w:szCs w:val="20"/>
              </w:rPr>
            </w:pPr>
            <w:r w:rsidRPr="00E00417">
              <w:rPr>
                <w:i/>
                <w:sz w:val="20"/>
                <w:szCs w:val="20"/>
              </w:rPr>
              <w:t>LC</w:t>
            </w:r>
          </w:p>
        </w:tc>
        <w:tc>
          <w:tcPr>
            <w:tcW w:w="8364" w:type="dxa"/>
            <w:gridSpan w:val="2"/>
            <w:tcBorders>
              <w:top w:val="single" w:sz="6" w:space="0" w:color="BFBFBF" w:themeColor="background1" w:themeShade="BF"/>
              <w:bottom w:val="single" w:sz="6" w:space="0" w:color="BFBFBF" w:themeColor="background1" w:themeShade="BF"/>
            </w:tcBorders>
          </w:tcPr>
          <w:p w14:paraId="12D85C5E" w14:textId="77777777" w:rsidR="008240B7" w:rsidRPr="00E00417" w:rsidRDefault="008240B7" w:rsidP="0052738D">
            <w:pPr>
              <w:spacing w:before="40" w:after="40" w:line="240" w:lineRule="auto"/>
              <w:ind w:left="602"/>
              <w:jc w:val="left"/>
              <w:rPr>
                <w:sz w:val="20"/>
                <w:szCs w:val="20"/>
              </w:rPr>
            </w:pPr>
          </w:p>
        </w:tc>
      </w:tr>
      <w:tr w:rsidR="008240B7" w:rsidRPr="00E00417" w14:paraId="15E208CF" w14:textId="77777777" w:rsidTr="0052738D">
        <w:trPr>
          <w:gridAfter w:val="1"/>
          <w:wAfter w:w="284" w:type="dxa"/>
        </w:trPr>
        <w:tc>
          <w:tcPr>
            <w:tcW w:w="4536" w:type="dxa"/>
            <w:tcBorders>
              <w:top w:val="single" w:sz="6" w:space="0" w:color="BFBFBF" w:themeColor="background1" w:themeShade="BF"/>
              <w:bottom w:val="single" w:sz="6" w:space="0" w:color="BFBFBF" w:themeColor="background1" w:themeShade="BF"/>
            </w:tcBorders>
          </w:tcPr>
          <w:p w14:paraId="18F25344" w14:textId="050F41DA" w:rsidR="008240B7" w:rsidRPr="00E00417" w:rsidRDefault="008240B7" w:rsidP="00636B4C">
            <w:pPr>
              <w:spacing w:before="40" w:after="40" w:line="240" w:lineRule="auto"/>
              <w:ind w:left="113"/>
              <w:jc w:val="left"/>
              <w:rPr>
                <w:sz w:val="20"/>
                <w:szCs w:val="20"/>
              </w:rPr>
            </w:pPr>
            <w:r>
              <w:rPr>
                <w:sz w:val="20"/>
                <w:szCs w:val="20"/>
              </w:rPr>
              <w:t>Beef and veal exports 2023-24</w:t>
            </w:r>
          </w:p>
        </w:tc>
        <w:tc>
          <w:tcPr>
            <w:tcW w:w="992" w:type="dxa"/>
            <w:tcBorders>
              <w:top w:val="single" w:sz="6" w:space="0" w:color="BFBFBF" w:themeColor="background1" w:themeShade="BF"/>
              <w:bottom w:val="single" w:sz="6" w:space="0" w:color="BFBFBF" w:themeColor="background1" w:themeShade="BF"/>
            </w:tcBorders>
          </w:tcPr>
          <w:p w14:paraId="237118F8" w14:textId="77777777" w:rsidR="008240B7" w:rsidRPr="00E00417" w:rsidRDefault="008240B7" w:rsidP="00636B4C">
            <w:pPr>
              <w:spacing w:before="40" w:after="40" w:line="240" w:lineRule="auto"/>
              <w:ind w:left="34"/>
              <w:rPr>
                <w:i/>
                <w:sz w:val="20"/>
                <w:szCs w:val="20"/>
              </w:rPr>
            </w:pPr>
            <w:r w:rsidRPr="00E00417">
              <w:rPr>
                <w:i/>
                <w:sz w:val="20"/>
                <w:szCs w:val="20"/>
              </w:rPr>
              <w:t>M</w:t>
            </w:r>
          </w:p>
        </w:tc>
        <w:tc>
          <w:tcPr>
            <w:tcW w:w="8364" w:type="dxa"/>
            <w:gridSpan w:val="2"/>
            <w:tcBorders>
              <w:top w:val="single" w:sz="6" w:space="0" w:color="BFBFBF" w:themeColor="background1" w:themeShade="BF"/>
              <w:bottom w:val="single" w:sz="6" w:space="0" w:color="BFBFBF" w:themeColor="background1" w:themeShade="BF"/>
            </w:tcBorders>
          </w:tcPr>
          <w:p w14:paraId="1EC565E0" w14:textId="77777777" w:rsidR="008240B7" w:rsidRPr="00E00417" w:rsidRDefault="008240B7" w:rsidP="0052738D">
            <w:pPr>
              <w:spacing w:before="40" w:after="40" w:line="240" w:lineRule="auto"/>
              <w:ind w:left="602"/>
              <w:jc w:val="left"/>
              <w:rPr>
                <w:sz w:val="20"/>
                <w:szCs w:val="20"/>
              </w:rPr>
            </w:pPr>
          </w:p>
        </w:tc>
      </w:tr>
      <w:tr w:rsidR="008240B7" w:rsidRPr="00E00417" w14:paraId="1154DE29" w14:textId="77777777" w:rsidTr="0052738D">
        <w:trPr>
          <w:gridAfter w:val="1"/>
          <w:wAfter w:w="284" w:type="dxa"/>
        </w:trPr>
        <w:tc>
          <w:tcPr>
            <w:tcW w:w="4536" w:type="dxa"/>
            <w:tcBorders>
              <w:top w:val="single" w:sz="6" w:space="0" w:color="BFBFBF" w:themeColor="background1" w:themeShade="BF"/>
              <w:bottom w:val="single" w:sz="6" w:space="0" w:color="BFBFBF" w:themeColor="background1" w:themeShade="BF"/>
            </w:tcBorders>
          </w:tcPr>
          <w:p w14:paraId="1B78BD26" w14:textId="14C5D87F" w:rsidR="008240B7" w:rsidRPr="00E00417" w:rsidRDefault="008240B7" w:rsidP="00636B4C">
            <w:pPr>
              <w:spacing w:before="40" w:after="40" w:line="240" w:lineRule="auto"/>
              <w:ind w:left="113"/>
              <w:jc w:val="left"/>
              <w:rPr>
                <w:sz w:val="20"/>
                <w:szCs w:val="20"/>
              </w:rPr>
            </w:pPr>
            <w:r w:rsidRPr="00E00417">
              <w:rPr>
                <w:sz w:val="20"/>
                <w:szCs w:val="20"/>
              </w:rPr>
              <w:t xml:space="preserve">Value of bovine rendered meals </w:t>
            </w:r>
            <w:r w:rsidR="00E9122D">
              <w:rPr>
                <w:sz w:val="20"/>
                <w:szCs w:val="20"/>
              </w:rPr>
              <w:t>2023-24</w:t>
            </w:r>
          </w:p>
        </w:tc>
        <w:tc>
          <w:tcPr>
            <w:tcW w:w="992" w:type="dxa"/>
            <w:tcBorders>
              <w:top w:val="single" w:sz="6" w:space="0" w:color="BFBFBF" w:themeColor="background1" w:themeShade="BF"/>
              <w:bottom w:val="single" w:sz="6" w:space="0" w:color="BFBFBF" w:themeColor="background1" w:themeShade="BF"/>
            </w:tcBorders>
          </w:tcPr>
          <w:p w14:paraId="01FD2D61" w14:textId="77777777" w:rsidR="008240B7" w:rsidRPr="00E00417" w:rsidRDefault="008240B7" w:rsidP="00636B4C">
            <w:pPr>
              <w:spacing w:before="40" w:after="40" w:line="240" w:lineRule="auto"/>
              <w:ind w:left="34"/>
              <w:rPr>
                <w:i/>
                <w:sz w:val="20"/>
                <w:szCs w:val="20"/>
              </w:rPr>
            </w:pPr>
            <w:r w:rsidRPr="00E00417">
              <w:rPr>
                <w:i/>
                <w:sz w:val="20"/>
                <w:szCs w:val="20"/>
              </w:rPr>
              <w:t>BR</w:t>
            </w:r>
          </w:p>
        </w:tc>
        <w:tc>
          <w:tcPr>
            <w:tcW w:w="8364" w:type="dxa"/>
            <w:gridSpan w:val="2"/>
            <w:tcBorders>
              <w:top w:val="single" w:sz="6" w:space="0" w:color="BFBFBF" w:themeColor="background1" w:themeShade="BF"/>
              <w:bottom w:val="single" w:sz="6" w:space="0" w:color="BFBFBF" w:themeColor="background1" w:themeShade="BF"/>
            </w:tcBorders>
          </w:tcPr>
          <w:p w14:paraId="0CED9409" w14:textId="77777777" w:rsidR="008240B7" w:rsidRPr="00E00417" w:rsidRDefault="008240B7" w:rsidP="0052738D">
            <w:pPr>
              <w:spacing w:before="40" w:after="40" w:line="240" w:lineRule="auto"/>
              <w:ind w:left="602"/>
              <w:jc w:val="left"/>
              <w:rPr>
                <w:sz w:val="20"/>
                <w:szCs w:val="20"/>
              </w:rPr>
            </w:pPr>
          </w:p>
        </w:tc>
      </w:tr>
      <w:tr w:rsidR="000354A2" w:rsidRPr="00E00417" w14:paraId="12688426" w14:textId="77777777" w:rsidTr="0052738D">
        <w:trPr>
          <w:gridAfter w:val="1"/>
          <w:wAfter w:w="284" w:type="dxa"/>
        </w:trPr>
        <w:tc>
          <w:tcPr>
            <w:tcW w:w="4536" w:type="dxa"/>
            <w:tcBorders>
              <w:top w:val="single" w:sz="6" w:space="0" w:color="BFBFBF" w:themeColor="background1" w:themeShade="BF"/>
              <w:bottom w:val="single" w:sz="6" w:space="0" w:color="BFBFBF" w:themeColor="background1" w:themeShade="BF"/>
            </w:tcBorders>
          </w:tcPr>
          <w:p w14:paraId="5F080F82" w14:textId="39A547F2" w:rsidR="000354A2" w:rsidRPr="00E00417" w:rsidRDefault="00725FEE" w:rsidP="00636B4C">
            <w:pPr>
              <w:spacing w:before="40" w:after="40" w:line="240" w:lineRule="auto"/>
              <w:ind w:left="113"/>
              <w:jc w:val="left"/>
              <w:rPr>
                <w:sz w:val="20"/>
                <w:szCs w:val="20"/>
              </w:rPr>
            </w:pPr>
            <w:r>
              <w:rPr>
                <w:sz w:val="20"/>
                <w:szCs w:val="20"/>
              </w:rPr>
              <w:t>Value of other products</w:t>
            </w:r>
            <w:r w:rsidR="00C04A48">
              <w:rPr>
                <w:sz w:val="20"/>
                <w:szCs w:val="20"/>
              </w:rPr>
              <w:t xml:space="preserve"> 2023-24</w:t>
            </w:r>
          </w:p>
        </w:tc>
        <w:tc>
          <w:tcPr>
            <w:tcW w:w="992" w:type="dxa"/>
            <w:tcBorders>
              <w:top w:val="single" w:sz="6" w:space="0" w:color="BFBFBF" w:themeColor="background1" w:themeShade="BF"/>
              <w:bottom w:val="single" w:sz="6" w:space="0" w:color="BFBFBF" w:themeColor="background1" w:themeShade="BF"/>
            </w:tcBorders>
          </w:tcPr>
          <w:p w14:paraId="5347CE49" w14:textId="737259FA" w:rsidR="000354A2" w:rsidRPr="00E00417" w:rsidRDefault="000354A2" w:rsidP="00636B4C">
            <w:pPr>
              <w:spacing w:before="40" w:after="40" w:line="240" w:lineRule="auto"/>
              <w:ind w:left="34"/>
              <w:rPr>
                <w:i/>
                <w:sz w:val="20"/>
                <w:szCs w:val="20"/>
              </w:rPr>
            </w:pPr>
            <w:r>
              <w:rPr>
                <w:i/>
                <w:sz w:val="20"/>
                <w:szCs w:val="20"/>
              </w:rPr>
              <w:t>Oth</w:t>
            </w:r>
          </w:p>
        </w:tc>
        <w:tc>
          <w:tcPr>
            <w:tcW w:w="8364" w:type="dxa"/>
            <w:gridSpan w:val="2"/>
            <w:tcBorders>
              <w:top w:val="single" w:sz="6" w:space="0" w:color="BFBFBF" w:themeColor="background1" w:themeShade="BF"/>
              <w:bottom w:val="single" w:sz="6" w:space="0" w:color="BFBFBF" w:themeColor="background1" w:themeShade="BF"/>
            </w:tcBorders>
          </w:tcPr>
          <w:p w14:paraId="04C19B1E" w14:textId="77777777" w:rsidR="000354A2" w:rsidRPr="00E00417" w:rsidRDefault="000354A2" w:rsidP="0052738D">
            <w:pPr>
              <w:spacing w:before="40" w:after="40" w:line="240" w:lineRule="auto"/>
              <w:ind w:left="602"/>
              <w:jc w:val="left"/>
              <w:rPr>
                <w:sz w:val="20"/>
                <w:szCs w:val="20"/>
              </w:rPr>
            </w:pPr>
          </w:p>
        </w:tc>
      </w:tr>
      <w:tr w:rsidR="00052385" w:rsidRPr="00E00417" w14:paraId="218160B0" w14:textId="77777777" w:rsidTr="0052738D">
        <w:trPr>
          <w:gridAfter w:val="1"/>
          <w:wAfter w:w="284" w:type="dxa"/>
        </w:trPr>
        <w:tc>
          <w:tcPr>
            <w:tcW w:w="4536" w:type="dxa"/>
            <w:tcBorders>
              <w:top w:val="single" w:sz="6" w:space="0" w:color="BFBFBF" w:themeColor="background1" w:themeShade="BF"/>
              <w:bottom w:val="single" w:sz="6" w:space="0" w:color="BFBFBF" w:themeColor="background1" w:themeShade="BF"/>
            </w:tcBorders>
          </w:tcPr>
          <w:p w14:paraId="6AB10DC1" w14:textId="0540B2DB" w:rsidR="00052385" w:rsidRDefault="00052385" w:rsidP="00052385">
            <w:pPr>
              <w:spacing w:before="40" w:after="40" w:line="240" w:lineRule="auto"/>
              <w:ind w:left="113"/>
              <w:jc w:val="left"/>
              <w:rPr>
                <w:sz w:val="20"/>
                <w:szCs w:val="20"/>
              </w:rPr>
            </w:pPr>
            <w:r>
              <w:rPr>
                <w:sz w:val="20"/>
                <w:szCs w:val="20"/>
              </w:rPr>
              <w:t>Domestic price of beef ($/kg carcase weight</w:t>
            </w:r>
          </w:p>
        </w:tc>
        <w:tc>
          <w:tcPr>
            <w:tcW w:w="992" w:type="dxa"/>
            <w:tcBorders>
              <w:top w:val="single" w:sz="6" w:space="0" w:color="BFBFBF" w:themeColor="background1" w:themeShade="BF"/>
              <w:bottom w:val="single" w:sz="6" w:space="0" w:color="BFBFBF" w:themeColor="background1" w:themeShade="BF"/>
            </w:tcBorders>
          </w:tcPr>
          <w:p w14:paraId="25699B94" w14:textId="1E1A26F2" w:rsidR="00052385" w:rsidRDefault="00052385" w:rsidP="00052385">
            <w:pPr>
              <w:spacing w:before="40" w:after="40" w:line="240" w:lineRule="auto"/>
              <w:ind w:left="34"/>
              <w:rPr>
                <w:i/>
                <w:sz w:val="20"/>
                <w:szCs w:val="20"/>
              </w:rPr>
            </w:pPr>
            <w:r>
              <w:rPr>
                <w:i/>
                <w:sz w:val="20"/>
                <w:szCs w:val="20"/>
              </w:rPr>
              <w:t>P</w:t>
            </w:r>
            <w:r w:rsidRPr="009B7346">
              <w:rPr>
                <w:i/>
                <w:sz w:val="20"/>
                <w:szCs w:val="20"/>
                <w:vertAlign w:val="subscript"/>
              </w:rPr>
              <w:t>D</w:t>
            </w:r>
          </w:p>
        </w:tc>
        <w:tc>
          <w:tcPr>
            <w:tcW w:w="8364" w:type="dxa"/>
            <w:gridSpan w:val="2"/>
            <w:tcBorders>
              <w:top w:val="single" w:sz="6" w:space="0" w:color="BFBFBF" w:themeColor="background1" w:themeShade="BF"/>
              <w:bottom w:val="single" w:sz="6" w:space="0" w:color="BFBFBF" w:themeColor="background1" w:themeShade="BF"/>
            </w:tcBorders>
          </w:tcPr>
          <w:p w14:paraId="5F8236E9" w14:textId="77777777" w:rsidR="00052385" w:rsidRPr="00E00417" w:rsidRDefault="00052385" w:rsidP="00052385">
            <w:pPr>
              <w:spacing w:before="40" w:after="40" w:line="240" w:lineRule="auto"/>
              <w:ind w:left="602"/>
              <w:jc w:val="left"/>
              <w:rPr>
                <w:sz w:val="20"/>
                <w:szCs w:val="20"/>
              </w:rPr>
            </w:pPr>
          </w:p>
        </w:tc>
      </w:tr>
      <w:tr w:rsidR="00052385" w:rsidRPr="00E00417" w14:paraId="746FADB2" w14:textId="77777777" w:rsidTr="0052738D">
        <w:trPr>
          <w:gridAfter w:val="1"/>
          <w:wAfter w:w="284" w:type="dxa"/>
        </w:trPr>
        <w:tc>
          <w:tcPr>
            <w:tcW w:w="4536" w:type="dxa"/>
            <w:tcBorders>
              <w:top w:val="single" w:sz="6" w:space="0" w:color="BFBFBF" w:themeColor="background1" w:themeShade="BF"/>
              <w:bottom w:val="single" w:sz="6" w:space="0" w:color="BFBFBF" w:themeColor="background1" w:themeShade="BF"/>
            </w:tcBorders>
          </w:tcPr>
          <w:p w14:paraId="4985FB98" w14:textId="6C54CBE8" w:rsidR="00052385" w:rsidRDefault="00052385" w:rsidP="00052385">
            <w:pPr>
              <w:spacing w:before="40" w:after="40" w:line="240" w:lineRule="auto"/>
              <w:ind w:left="113"/>
              <w:jc w:val="left"/>
              <w:rPr>
                <w:sz w:val="20"/>
                <w:szCs w:val="20"/>
              </w:rPr>
            </w:pPr>
            <w:r>
              <w:rPr>
                <w:sz w:val="20"/>
                <w:szCs w:val="20"/>
              </w:rPr>
              <w:t>Volume of beef exports absorbed by the domestic market</w:t>
            </w:r>
          </w:p>
        </w:tc>
        <w:tc>
          <w:tcPr>
            <w:tcW w:w="992" w:type="dxa"/>
            <w:tcBorders>
              <w:top w:val="single" w:sz="6" w:space="0" w:color="BFBFBF" w:themeColor="background1" w:themeShade="BF"/>
              <w:bottom w:val="single" w:sz="6" w:space="0" w:color="BFBFBF" w:themeColor="background1" w:themeShade="BF"/>
            </w:tcBorders>
          </w:tcPr>
          <w:p w14:paraId="3411CD49" w14:textId="0C1F73C1" w:rsidR="00052385" w:rsidRDefault="00052385" w:rsidP="00052385">
            <w:pPr>
              <w:spacing w:before="40" w:after="40" w:line="240" w:lineRule="auto"/>
              <w:ind w:left="34"/>
              <w:rPr>
                <w:i/>
                <w:sz w:val="20"/>
                <w:szCs w:val="20"/>
              </w:rPr>
            </w:pPr>
            <w:r>
              <w:rPr>
                <w:i/>
                <w:sz w:val="20"/>
                <w:szCs w:val="20"/>
              </w:rPr>
              <w:t>V</w:t>
            </w:r>
            <w:r w:rsidRPr="004F23A5">
              <w:rPr>
                <w:i/>
                <w:sz w:val="20"/>
                <w:szCs w:val="20"/>
                <w:vertAlign w:val="subscript"/>
              </w:rPr>
              <w:t>D</w:t>
            </w:r>
          </w:p>
        </w:tc>
        <w:tc>
          <w:tcPr>
            <w:tcW w:w="8364" w:type="dxa"/>
            <w:gridSpan w:val="2"/>
            <w:tcBorders>
              <w:top w:val="single" w:sz="6" w:space="0" w:color="BFBFBF" w:themeColor="background1" w:themeShade="BF"/>
              <w:bottom w:val="single" w:sz="6" w:space="0" w:color="BFBFBF" w:themeColor="background1" w:themeShade="BF"/>
            </w:tcBorders>
          </w:tcPr>
          <w:p w14:paraId="29FD45E8" w14:textId="77777777" w:rsidR="00052385" w:rsidRPr="00E00417" w:rsidRDefault="00052385" w:rsidP="00052385">
            <w:pPr>
              <w:spacing w:before="40" w:after="40" w:line="240" w:lineRule="auto"/>
              <w:ind w:left="602"/>
              <w:jc w:val="left"/>
              <w:rPr>
                <w:sz w:val="20"/>
                <w:szCs w:val="20"/>
              </w:rPr>
            </w:pPr>
          </w:p>
        </w:tc>
      </w:tr>
      <w:tr w:rsidR="008240B7" w:rsidRPr="00E00417" w14:paraId="32804215" w14:textId="77777777" w:rsidTr="0052738D">
        <w:trPr>
          <w:gridAfter w:val="1"/>
          <w:wAfter w:w="284" w:type="dxa"/>
        </w:trPr>
        <w:tc>
          <w:tcPr>
            <w:tcW w:w="4536" w:type="dxa"/>
            <w:tcBorders>
              <w:top w:val="single" w:sz="6" w:space="0" w:color="BFBFBF" w:themeColor="background1" w:themeShade="BF"/>
              <w:bottom w:val="single" w:sz="6" w:space="0" w:color="BFBFBF" w:themeColor="background1" w:themeShade="BF"/>
            </w:tcBorders>
          </w:tcPr>
          <w:p w14:paraId="7FDB89E8" w14:textId="61962F5A" w:rsidR="008240B7" w:rsidRPr="00F750BC" w:rsidRDefault="008240B7" w:rsidP="00755B9A">
            <w:pPr>
              <w:spacing w:before="40" w:after="40" w:line="240" w:lineRule="auto"/>
              <w:jc w:val="left"/>
              <w:rPr>
                <w:sz w:val="20"/>
                <w:szCs w:val="20"/>
              </w:rPr>
            </w:pPr>
            <w:r w:rsidRPr="00F750BC">
              <w:rPr>
                <w:sz w:val="20"/>
                <w:szCs w:val="20"/>
              </w:rPr>
              <w:t>(</w:t>
            </w:r>
            <w:r w:rsidR="00755B9A" w:rsidRPr="00F750BC">
              <w:rPr>
                <w:sz w:val="20"/>
                <w:szCs w:val="20"/>
              </w:rPr>
              <w:t>U</w:t>
            </w:r>
            <w:r w:rsidRPr="00F750BC">
              <w:rPr>
                <w:sz w:val="20"/>
                <w:szCs w:val="20"/>
              </w:rPr>
              <w:t xml:space="preserve">ndiscounted) </w:t>
            </w:r>
            <w:r w:rsidR="00400E81" w:rsidRPr="00F750BC">
              <w:rPr>
                <w:sz w:val="20"/>
                <w:szCs w:val="20"/>
              </w:rPr>
              <w:t>V</w:t>
            </w:r>
            <w:r w:rsidRPr="00F750BC">
              <w:rPr>
                <w:sz w:val="20"/>
                <w:szCs w:val="20"/>
              </w:rPr>
              <w:t>alue of lost exports, 202</w:t>
            </w:r>
            <w:r w:rsidR="00DE21E2" w:rsidRPr="00F750BC">
              <w:rPr>
                <w:sz w:val="20"/>
                <w:szCs w:val="20"/>
              </w:rPr>
              <w:t>3-</w:t>
            </w:r>
            <w:r w:rsidR="002A7AD8" w:rsidRPr="00F750BC">
              <w:rPr>
                <w:sz w:val="20"/>
                <w:szCs w:val="20"/>
              </w:rPr>
              <w:t>2</w:t>
            </w:r>
            <w:r w:rsidR="00DE21E2" w:rsidRPr="00F750BC">
              <w:rPr>
                <w:sz w:val="20"/>
                <w:szCs w:val="20"/>
              </w:rPr>
              <w:t>4</w:t>
            </w:r>
          </w:p>
        </w:tc>
        <w:tc>
          <w:tcPr>
            <w:tcW w:w="992" w:type="dxa"/>
            <w:tcBorders>
              <w:top w:val="single" w:sz="6" w:space="0" w:color="BFBFBF" w:themeColor="background1" w:themeShade="BF"/>
              <w:bottom w:val="single" w:sz="6" w:space="0" w:color="BFBFBF" w:themeColor="background1" w:themeShade="BF"/>
            </w:tcBorders>
          </w:tcPr>
          <w:p w14:paraId="24468045" w14:textId="77777777" w:rsidR="008240B7" w:rsidRPr="00F750BC" w:rsidRDefault="008240B7" w:rsidP="00636B4C">
            <w:pPr>
              <w:spacing w:before="40" w:after="40" w:line="240" w:lineRule="auto"/>
              <w:ind w:left="34"/>
              <w:rPr>
                <w:i/>
                <w:sz w:val="20"/>
                <w:szCs w:val="20"/>
              </w:rPr>
            </w:pPr>
            <w:r w:rsidRPr="00F750BC">
              <w:rPr>
                <w:i/>
                <w:sz w:val="20"/>
                <w:szCs w:val="20"/>
              </w:rPr>
              <w:t>X</w:t>
            </w:r>
          </w:p>
        </w:tc>
        <w:tc>
          <w:tcPr>
            <w:tcW w:w="8364" w:type="dxa"/>
            <w:gridSpan w:val="2"/>
            <w:tcBorders>
              <w:top w:val="single" w:sz="6" w:space="0" w:color="BFBFBF" w:themeColor="background1" w:themeShade="BF"/>
              <w:bottom w:val="single" w:sz="6" w:space="0" w:color="BFBFBF" w:themeColor="background1" w:themeShade="BF"/>
            </w:tcBorders>
          </w:tcPr>
          <w:p w14:paraId="68662AAE" w14:textId="5274D14F" w:rsidR="008240B7" w:rsidRPr="0052738D" w:rsidRDefault="008240B7" w:rsidP="0052738D">
            <w:pPr>
              <w:spacing w:before="40" w:after="40" w:line="240" w:lineRule="auto"/>
              <w:ind w:left="602"/>
              <w:jc w:val="left"/>
              <w:rPr>
                <w:i/>
                <w:sz w:val="20"/>
                <w:szCs w:val="20"/>
              </w:rPr>
            </w:pPr>
            <m:oMathPara>
              <m:oMathParaPr>
                <m:jc m:val="left"/>
              </m:oMathParaPr>
              <m:oMath>
                <m:r>
                  <w:rPr>
                    <w:rFonts w:ascii="Cambria Math" w:hAnsi="Cambria Math"/>
                    <w:sz w:val="20"/>
                    <w:szCs w:val="20"/>
                  </w:rPr>
                  <m:t>X=LC+M+BR+Oth-</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D</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D</m:t>
                    </m:r>
                  </m:sub>
                </m:sSub>
              </m:oMath>
            </m:oMathPara>
          </w:p>
        </w:tc>
      </w:tr>
      <w:tr w:rsidR="006850E8" w:rsidRPr="00E00417" w14:paraId="6DC329E0" w14:textId="77777777" w:rsidTr="00EA58F4">
        <w:trPr>
          <w:trHeight w:val="397"/>
        </w:trPr>
        <w:tc>
          <w:tcPr>
            <w:tcW w:w="5812" w:type="dxa"/>
            <w:gridSpan w:val="3"/>
            <w:tcBorders>
              <w:top w:val="single" w:sz="6" w:space="0" w:color="BFBFBF" w:themeColor="background1" w:themeShade="BF"/>
              <w:bottom w:val="single" w:sz="6" w:space="0" w:color="BFBFBF" w:themeColor="background1" w:themeShade="BF"/>
            </w:tcBorders>
            <w:vAlign w:val="bottom"/>
          </w:tcPr>
          <w:p w14:paraId="27C9334F" w14:textId="0A5680F1" w:rsidR="006850E8" w:rsidRPr="00E00417" w:rsidRDefault="006850E8" w:rsidP="00995A76">
            <w:pPr>
              <w:spacing w:before="40" w:after="40" w:line="240" w:lineRule="auto"/>
              <w:ind w:left="34"/>
              <w:jc w:val="left"/>
              <w:rPr>
                <w:i/>
                <w:sz w:val="20"/>
                <w:szCs w:val="20"/>
              </w:rPr>
            </w:pPr>
            <w:r>
              <w:rPr>
                <w:b/>
                <w:sz w:val="20"/>
                <w:szCs w:val="20"/>
              </w:rPr>
              <w:t xml:space="preserve">2. </w:t>
            </w:r>
            <w:r w:rsidRPr="00E00417">
              <w:rPr>
                <w:b/>
                <w:sz w:val="20"/>
                <w:szCs w:val="20"/>
              </w:rPr>
              <w:t>SRM removal from human and animal export chains</w:t>
            </w:r>
          </w:p>
        </w:tc>
        <w:tc>
          <w:tcPr>
            <w:tcW w:w="8364" w:type="dxa"/>
            <w:gridSpan w:val="2"/>
            <w:tcBorders>
              <w:top w:val="single" w:sz="6" w:space="0" w:color="BFBFBF" w:themeColor="background1" w:themeShade="BF"/>
              <w:bottom w:val="single" w:sz="6" w:space="0" w:color="BFBFBF" w:themeColor="background1" w:themeShade="BF"/>
            </w:tcBorders>
            <w:vAlign w:val="bottom"/>
          </w:tcPr>
          <w:p w14:paraId="6CC21C43" w14:textId="77777777" w:rsidR="006850E8" w:rsidRDefault="006850E8" w:rsidP="0052738D">
            <w:pPr>
              <w:spacing w:before="40" w:after="40" w:line="240" w:lineRule="auto"/>
              <w:ind w:left="602"/>
              <w:jc w:val="left"/>
              <w:rPr>
                <w:i/>
                <w:sz w:val="20"/>
                <w:szCs w:val="20"/>
              </w:rPr>
            </w:pPr>
          </w:p>
        </w:tc>
      </w:tr>
      <w:tr w:rsidR="00BE2E29" w:rsidRPr="00E00417" w14:paraId="1D640EF7" w14:textId="77777777" w:rsidTr="0052738D">
        <w:trPr>
          <w:gridAfter w:val="1"/>
          <w:wAfter w:w="284" w:type="dxa"/>
        </w:trPr>
        <w:tc>
          <w:tcPr>
            <w:tcW w:w="4536" w:type="dxa"/>
            <w:tcBorders>
              <w:top w:val="single" w:sz="6" w:space="0" w:color="BFBFBF" w:themeColor="background1" w:themeShade="BF"/>
              <w:bottom w:val="single" w:sz="6" w:space="0" w:color="BFBFBF" w:themeColor="background1" w:themeShade="BF"/>
            </w:tcBorders>
          </w:tcPr>
          <w:p w14:paraId="2F6C306B" w14:textId="72DB6B2C" w:rsidR="00BE2E29" w:rsidRPr="00E00417" w:rsidRDefault="00BE2E29" w:rsidP="00BE2E29">
            <w:pPr>
              <w:spacing w:before="40" w:after="40" w:line="240" w:lineRule="auto"/>
              <w:ind w:left="113"/>
              <w:jc w:val="left"/>
              <w:rPr>
                <w:b/>
                <w:sz w:val="20"/>
                <w:szCs w:val="20"/>
              </w:rPr>
            </w:pPr>
            <w:r>
              <w:rPr>
                <w:sz w:val="20"/>
                <w:szCs w:val="20"/>
              </w:rPr>
              <w:t xml:space="preserve">Number of abattoirs </w:t>
            </w:r>
            <w:r w:rsidR="008070FB">
              <w:rPr>
                <w:sz w:val="20"/>
                <w:szCs w:val="20"/>
              </w:rPr>
              <w:t>affected</w:t>
            </w:r>
            <w:r>
              <w:rPr>
                <w:sz w:val="20"/>
                <w:szCs w:val="20"/>
              </w:rPr>
              <w:t xml:space="preserve"> (no.)</w:t>
            </w:r>
          </w:p>
        </w:tc>
        <w:tc>
          <w:tcPr>
            <w:tcW w:w="992" w:type="dxa"/>
            <w:tcBorders>
              <w:top w:val="single" w:sz="6" w:space="0" w:color="BFBFBF" w:themeColor="background1" w:themeShade="BF"/>
              <w:bottom w:val="single" w:sz="6" w:space="0" w:color="BFBFBF" w:themeColor="background1" w:themeShade="BF"/>
            </w:tcBorders>
          </w:tcPr>
          <w:p w14:paraId="648A5601" w14:textId="090BBB9A" w:rsidR="00BE2E29" w:rsidRPr="00E00417" w:rsidRDefault="00BE2E29" w:rsidP="00BE2E29">
            <w:pPr>
              <w:spacing w:before="40" w:after="40" w:line="240" w:lineRule="auto"/>
              <w:ind w:left="34"/>
              <w:rPr>
                <w:i/>
                <w:sz w:val="20"/>
                <w:szCs w:val="20"/>
              </w:rPr>
            </w:pPr>
            <w:r w:rsidRPr="00C67A86">
              <w:rPr>
                <w:i/>
                <w:sz w:val="20"/>
                <w:szCs w:val="20"/>
              </w:rPr>
              <w:t>N</w:t>
            </w:r>
            <w:r w:rsidRPr="002E51F6">
              <w:rPr>
                <w:i/>
                <w:sz w:val="20"/>
                <w:szCs w:val="20"/>
                <w:vertAlign w:val="subscript"/>
              </w:rPr>
              <w:t>R</w:t>
            </w:r>
          </w:p>
        </w:tc>
        <w:tc>
          <w:tcPr>
            <w:tcW w:w="8364" w:type="dxa"/>
            <w:gridSpan w:val="2"/>
            <w:tcBorders>
              <w:top w:val="single" w:sz="6" w:space="0" w:color="BFBFBF" w:themeColor="background1" w:themeShade="BF"/>
              <w:bottom w:val="single" w:sz="6" w:space="0" w:color="BFBFBF" w:themeColor="background1" w:themeShade="BF"/>
            </w:tcBorders>
          </w:tcPr>
          <w:p w14:paraId="2A125C1A" w14:textId="77777777" w:rsidR="00BE2E29" w:rsidRDefault="00BE2E29" w:rsidP="0052738D">
            <w:pPr>
              <w:spacing w:before="40" w:after="40" w:line="240" w:lineRule="auto"/>
              <w:ind w:left="602"/>
              <w:jc w:val="left"/>
              <w:rPr>
                <w:i/>
                <w:sz w:val="20"/>
                <w:szCs w:val="20"/>
              </w:rPr>
            </w:pPr>
          </w:p>
        </w:tc>
      </w:tr>
      <w:tr w:rsidR="00CA5919" w:rsidRPr="00E00417" w14:paraId="5DDD2539" w14:textId="77777777" w:rsidTr="0052738D">
        <w:trPr>
          <w:gridAfter w:val="1"/>
          <w:wAfter w:w="284" w:type="dxa"/>
        </w:trPr>
        <w:tc>
          <w:tcPr>
            <w:tcW w:w="4536" w:type="dxa"/>
            <w:tcBorders>
              <w:top w:val="single" w:sz="6" w:space="0" w:color="BFBFBF" w:themeColor="background1" w:themeShade="BF"/>
              <w:bottom w:val="single" w:sz="6" w:space="0" w:color="BFBFBF" w:themeColor="background1" w:themeShade="BF"/>
            </w:tcBorders>
          </w:tcPr>
          <w:p w14:paraId="2A99EAA7" w14:textId="54CB7886" w:rsidR="00BE2E29" w:rsidRPr="00E00417" w:rsidRDefault="00BE2E29" w:rsidP="00BE2E29">
            <w:pPr>
              <w:spacing w:before="40" w:after="40" w:line="240" w:lineRule="auto"/>
              <w:ind w:left="113"/>
              <w:jc w:val="left"/>
              <w:rPr>
                <w:sz w:val="20"/>
                <w:szCs w:val="20"/>
              </w:rPr>
            </w:pPr>
            <w:r>
              <w:rPr>
                <w:sz w:val="20"/>
                <w:szCs w:val="20"/>
              </w:rPr>
              <w:t xml:space="preserve">Additional FTE </w:t>
            </w:r>
            <w:r w:rsidR="005A407C">
              <w:rPr>
                <w:sz w:val="20"/>
                <w:szCs w:val="20"/>
              </w:rPr>
              <w:t>involved in safe handling of</w:t>
            </w:r>
            <w:r>
              <w:rPr>
                <w:sz w:val="20"/>
                <w:szCs w:val="20"/>
              </w:rPr>
              <w:t xml:space="preserve"> SRM</w:t>
            </w:r>
          </w:p>
        </w:tc>
        <w:tc>
          <w:tcPr>
            <w:tcW w:w="992" w:type="dxa"/>
            <w:tcBorders>
              <w:top w:val="single" w:sz="6" w:space="0" w:color="BFBFBF" w:themeColor="background1" w:themeShade="BF"/>
              <w:bottom w:val="single" w:sz="6" w:space="0" w:color="BFBFBF" w:themeColor="background1" w:themeShade="BF"/>
            </w:tcBorders>
          </w:tcPr>
          <w:p w14:paraId="6DCBDB9C" w14:textId="25DB7530" w:rsidR="00BE2E29" w:rsidRPr="00E00417" w:rsidRDefault="00BE2E29" w:rsidP="00BE2E29">
            <w:pPr>
              <w:spacing w:before="40" w:after="40" w:line="240" w:lineRule="auto"/>
              <w:ind w:left="34"/>
              <w:rPr>
                <w:i/>
                <w:sz w:val="20"/>
                <w:szCs w:val="20"/>
              </w:rPr>
            </w:pPr>
            <w:r>
              <w:rPr>
                <w:i/>
                <w:sz w:val="20"/>
                <w:szCs w:val="20"/>
              </w:rPr>
              <w:t>FTE</w:t>
            </w:r>
            <w:r w:rsidRPr="00BE08E5">
              <w:rPr>
                <w:i/>
                <w:sz w:val="20"/>
                <w:szCs w:val="20"/>
                <w:vertAlign w:val="subscript"/>
              </w:rPr>
              <w:t>SRM</w:t>
            </w:r>
          </w:p>
        </w:tc>
        <w:tc>
          <w:tcPr>
            <w:tcW w:w="8364" w:type="dxa"/>
            <w:gridSpan w:val="2"/>
            <w:tcBorders>
              <w:top w:val="single" w:sz="6" w:space="0" w:color="BFBFBF" w:themeColor="background1" w:themeShade="BF"/>
              <w:bottom w:val="single" w:sz="6" w:space="0" w:color="BFBFBF" w:themeColor="background1" w:themeShade="BF"/>
            </w:tcBorders>
          </w:tcPr>
          <w:p w14:paraId="78D35126" w14:textId="604A833E" w:rsidR="00BE2E29" w:rsidRPr="00E00417" w:rsidRDefault="009728CE" w:rsidP="004377FF">
            <w:pPr>
              <w:tabs>
                <w:tab w:val="left" w:pos="1005"/>
              </w:tabs>
              <w:spacing w:before="40" w:after="40" w:line="240" w:lineRule="auto"/>
              <w:ind w:left="602"/>
              <w:jc w:val="left"/>
              <w:rPr>
                <w:sz w:val="20"/>
                <w:szCs w:val="20"/>
              </w:rPr>
            </w:pPr>
            <w:r>
              <w:rPr>
                <w:sz w:val="20"/>
                <w:szCs w:val="20"/>
              </w:rPr>
              <w:tab/>
            </w:r>
          </w:p>
        </w:tc>
      </w:tr>
      <w:tr w:rsidR="00CA5919" w:rsidRPr="00E00417" w14:paraId="419C81D5" w14:textId="77777777" w:rsidTr="0052738D">
        <w:trPr>
          <w:gridAfter w:val="1"/>
          <w:wAfter w:w="284" w:type="dxa"/>
        </w:trPr>
        <w:tc>
          <w:tcPr>
            <w:tcW w:w="4536" w:type="dxa"/>
            <w:tcBorders>
              <w:top w:val="single" w:sz="6" w:space="0" w:color="BFBFBF" w:themeColor="background1" w:themeShade="BF"/>
              <w:bottom w:val="single" w:sz="6" w:space="0" w:color="BFBFBF" w:themeColor="background1" w:themeShade="BF"/>
            </w:tcBorders>
          </w:tcPr>
          <w:p w14:paraId="07E9F6D1" w14:textId="72D706CD" w:rsidR="00BE2E29" w:rsidRPr="00E00417" w:rsidRDefault="00BE2E29" w:rsidP="00BE2E29">
            <w:pPr>
              <w:spacing w:before="40" w:after="40" w:line="240" w:lineRule="auto"/>
              <w:ind w:left="113"/>
              <w:jc w:val="left"/>
              <w:rPr>
                <w:sz w:val="20"/>
                <w:szCs w:val="20"/>
              </w:rPr>
            </w:pPr>
            <w:r>
              <w:rPr>
                <w:sz w:val="20"/>
                <w:szCs w:val="20"/>
              </w:rPr>
              <w:t>Annual salary of additional FTE ($)</w:t>
            </w:r>
          </w:p>
        </w:tc>
        <w:tc>
          <w:tcPr>
            <w:tcW w:w="992" w:type="dxa"/>
            <w:tcBorders>
              <w:top w:val="single" w:sz="6" w:space="0" w:color="BFBFBF" w:themeColor="background1" w:themeShade="BF"/>
              <w:bottom w:val="single" w:sz="6" w:space="0" w:color="BFBFBF" w:themeColor="background1" w:themeShade="BF"/>
            </w:tcBorders>
          </w:tcPr>
          <w:p w14:paraId="35AE741D" w14:textId="59F69F7A" w:rsidR="00BE2E29" w:rsidRPr="00E00417" w:rsidRDefault="00BE2E29" w:rsidP="00BE2E29">
            <w:pPr>
              <w:spacing w:before="40" w:after="40" w:line="240" w:lineRule="auto"/>
              <w:ind w:left="34"/>
              <w:rPr>
                <w:i/>
                <w:sz w:val="20"/>
                <w:szCs w:val="20"/>
              </w:rPr>
            </w:pPr>
            <w:r>
              <w:rPr>
                <w:i/>
                <w:sz w:val="20"/>
                <w:szCs w:val="20"/>
              </w:rPr>
              <w:t>CFTE</w:t>
            </w:r>
            <w:r w:rsidRPr="00BE08E5">
              <w:rPr>
                <w:i/>
                <w:sz w:val="20"/>
                <w:szCs w:val="20"/>
                <w:vertAlign w:val="subscript"/>
              </w:rPr>
              <w:t>SRM</w:t>
            </w:r>
          </w:p>
        </w:tc>
        <w:tc>
          <w:tcPr>
            <w:tcW w:w="8364" w:type="dxa"/>
            <w:gridSpan w:val="2"/>
            <w:tcBorders>
              <w:top w:val="single" w:sz="6" w:space="0" w:color="BFBFBF" w:themeColor="background1" w:themeShade="BF"/>
              <w:bottom w:val="single" w:sz="6" w:space="0" w:color="BFBFBF" w:themeColor="background1" w:themeShade="BF"/>
            </w:tcBorders>
          </w:tcPr>
          <w:p w14:paraId="7752E15C" w14:textId="6587948D" w:rsidR="00BE2E29" w:rsidRPr="00E00417" w:rsidRDefault="00BE2E29" w:rsidP="0052738D">
            <w:pPr>
              <w:spacing w:before="40" w:after="40" w:line="240" w:lineRule="auto"/>
              <w:ind w:left="602"/>
              <w:jc w:val="left"/>
              <w:rPr>
                <w:sz w:val="20"/>
                <w:szCs w:val="20"/>
              </w:rPr>
            </w:pPr>
          </w:p>
        </w:tc>
      </w:tr>
      <w:tr w:rsidR="00CA5919" w:rsidRPr="00E00417" w14:paraId="18B3C351" w14:textId="77777777" w:rsidTr="0052738D">
        <w:trPr>
          <w:gridAfter w:val="1"/>
          <w:wAfter w:w="284" w:type="dxa"/>
        </w:trPr>
        <w:tc>
          <w:tcPr>
            <w:tcW w:w="4536" w:type="dxa"/>
            <w:tcBorders>
              <w:top w:val="single" w:sz="6" w:space="0" w:color="BFBFBF" w:themeColor="background1" w:themeShade="BF"/>
              <w:bottom w:val="single" w:sz="6" w:space="0" w:color="BFBFBF" w:themeColor="background1" w:themeShade="BF"/>
            </w:tcBorders>
          </w:tcPr>
          <w:p w14:paraId="2C2D8DB0" w14:textId="6A9C9143" w:rsidR="00BE2E29" w:rsidRPr="00E00417" w:rsidRDefault="00BE2E29" w:rsidP="00BE2E29">
            <w:pPr>
              <w:spacing w:before="40" w:after="40" w:line="240" w:lineRule="auto"/>
              <w:ind w:left="113"/>
              <w:jc w:val="left"/>
              <w:rPr>
                <w:sz w:val="20"/>
                <w:szCs w:val="20"/>
              </w:rPr>
            </w:pPr>
            <w:r>
              <w:rPr>
                <w:sz w:val="20"/>
                <w:szCs w:val="20"/>
              </w:rPr>
              <w:t>Number of animals processed (head)</w:t>
            </w:r>
          </w:p>
        </w:tc>
        <w:tc>
          <w:tcPr>
            <w:tcW w:w="992" w:type="dxa"/>
            <w:tcBorders>
              <w:top w:val="single" w:sz="6" w:space="0" w:color="BFBFBF" w:themeColor="background1" w:themeShade="BF"/>
              <w:bottom w:val="single" w:sz="6" w:space="0" w:color="BFBFBF" w:themeColor="background1" w:themeShade="BF"/>
            </w:tcBorders>
          </w:tcPr>
          <w:p w14:paraId="6AA17373" w14:textId="59393E31" w:rsidR="00BE2E29" w:rsidRPr="00E00417" w:rsidRDefault="00BE2E29" w:rsidP="00BE2E29">
            <w:pPr>
              <w:spacing w:before="40" w:after="40" w:line="240" w:lineRule="auto"/>
              <w:ind w:left="34"/>
              <w:rPr>
                <w:i/>
                <w:sz w:val="20"/>
                <w:szCs w:val="20"/>
              </w:rPr>
            </w:pPr>
            <w:r w:rsidRPr="00B44FF1">
              <w:rPr>
                <w:i/>
                <w:sz w:val="20"/>
                <w:szCs w:val="20"/>
              </w:rPr>
              <w:t>N</w:t>
            </w:r>
            <w:r w:rsidRPr="00FB304E">
              <w:rPr>
                <w:i/>
                <w:sz w:val="20"/>
                <w:szCs w:val="20"/>
                <w:vertAlign w:val="subscript"/>
              </w:rPr>
              <w:t>A</w:t>
            </w:r>
          </w:p>
        </w:tc>
        <w:tc>
          <w:tcPr>
            <w:tcW w:w="8364" w:type="dxa"/>
            <w:gridSpan w:val="2"/>
            <w:tcBorders>
              <w:top w:val="single" w:sz="6" w:space="0" w:color="BFBFBF" w:themeColor="background1" w:themeShade="BF"/>
              <w:bottom w:val="single" w:sz="6" w:space="0" w:color="BFBFBF" w:themeColor="background1" w:themeShade="BF"/>
            </w:tcBorders>
          </w:tcPr>
          <w:p w14:paraId="26474F23" w14:textId="2D31AB5B" w:rsidR="00BE2E29" w:rsidRPr="00E00417" w:rsidRDefault="00BE2E29" w:rsidP="0052738D">
            <w:pPr>
              <w:spacing w:before="40" w:after="40" w:line="240" w:lineRule="auto"/>
              <w:ind w:left="602"/>
              <w:jc w:val="left"/>
              <w:rPr>
                <w:sz w:val="20"/>
                <w:szCs w:val="20"/>
              </w:rPr>
            </w:pPr>
          </w:p>
        </w:tc>
      </w:tr>
      <w:tr w:rsidR="00BE2E29" w:rsidRPr="00E00417" w14:paraId="77E2A10D" w14:textId="77777777" w:rsidTr="0052738D">
        <w:trPr>
          <w:gridAfter w:val="1"/>
          <w:wAfter w:w="284" w:type="dxa"/>
        </w:trPr>
        <w:tc>
          <w:tcPr>
            <w:tcW w:w="4536" w:type="dxa"/>
            <w:tcBorders>
              <w:top w:val="single" w:sz="6" w:space="0" w:color="BFBFBF" w:themeColor="background1" w:themeShade="BF"/>
              <w:bottom w:val="single" w:sz="6" w:space="0" w:color="BFBFBF" w:themeColor="background1" w:themeShade="BF"/>
            </w:tcBorders>
          </w:tcPr>
          <w:p w14:paraId="3CB43B3A" w14:textId="1AC7FAD9" w:rsidR="00BE2E29" w:rsidRPr="00E00417" w:rsidRDefault="00BE2E29" w:rsidP="00BE2E29">
            <w:pPr>
              <w:spacing w:before="40" w:after="40" w:line="240" w:lineRule="auto"/>
              <w:ind w:left="113"/>
              <w:jc w:val="left"/>
              <w:rPr>
                <w:sz w:val="20"/>
                <w:szCs w:val="20"/>
              </w:rPr>
            </w:pPr>
            <w:r>
              <w:rPr>
                <w:sz w:val="20"/>
                <w:szCs w:val="20"/>
              </w:rPr>
              <w:t xml:space="preserve">SRM per animal </w:t>
            </w:r>
            <w:r w:rsidR="00FF139B">
              <w:rPr>
                <w:sz w:val="20"/>
                <w:szCs w:val="20"/>
              </w:rPr>
              <w:t xml:space="preserve">for </w:t>
            </w:r>
            <w:r w:rsidR="002E33AD">
              <w:rPr>
                <w:sz w:val="20"/>
                <w:szCs w:val="20"/>
              </w:rPr>
              <w:t xml:space="preserve">deep burial </w:t>
            </w:r>
            <w:r>
              <w:rPr>
                <w:sz w:val="20"/>
                <w:szCs w:val="20"/>
              </w:rPr>
              <w:t>(kg</w:t>
            </w:r>
            <w:r w:rsidR="00C24731">
              <w:rPr>
                <w:sz w:val="20"/>
                <w:szCs w:val="20"/>
              </w:rPr>
              <w:t xml:space="preserve"> </w:t>
            </w:r>
            <w:r w:rsidR="002E33AD">
              <w:rPr>
                <w:sz w:val="20"/>
                <w:szCs w:val="20"/>
              </w:rPr>
              <w:t>wet weight</w:t>
            </w:r>
            <w:r>
              <w:rPr>
                <w:sz w:val="20"/>
                <w:szCs w:val="20"/>
              </w:rPr>
              <w:t>)</w:t>
            </w:r>
          </w:p>
        </w:tc>
        <w:tc>
          <w:tcPr>
            <w:tcW w:w="992" w:type="dxa"/>
            <w:tcBorders>
              <w:top w:val="single" w:sz="6" w:space="0" w:color="BFBFBF" w:themeColor="background1" w:themeShade="BF"/>
              <w:bottom w:val="single" w:sz="6" w:space="0" w:color="BFBFBF" w:themeColor="background1" w:themeShade="BF"/>
            </w:tcBorders>
          </w:tcPr>
          <w:p w14:paraId="69510406" w14:textId="04EF0E22" w:rsidR="00BE2E29" w:rsidRPr="00E00417" w:rsidRDefault="00BE2E29" w:rsidP="00BE2E29">
            <w:pPr>
              <w:spacing w:before="40" w:after="40" w:line="240" w:lineRule="auto"/>
              <w:ind w:left="34"/>
              <w:rPr>
                <w:i/>
                <w:sz w:val="20"/>
                <w:szCs w:val="20"/>
              </w:rPr>
            </w:pPr>
            <w:r>
              <w:rPr>
                <w:i/>
                <w:sz w:val="20"/>
                <w:szCs w:val="20"/>
              </w:rPr>
              <w:t>SRM</w:t>
            </w:r>
            <w:r w:rsidRPr="001C1346">
              <w:rPr>
                <w:i/>
                <w:sz w:val="20"/>
                <w:szCs w:val="20"/>
                <w:vertAlign w:val="subscript"/>
              </w:rPr>
              <w:t>A</w:t>
            </w:r>
            <w:r w:rsidR="00E041E1">
              <w:rPr>
                <w:i/>
                <w:sz w:val="20"/>
                <w:szCs w:val="20"/>
                <w:vertAlign w:val="subscript"/>
              </w:rPr>
              <w:t>W</w:t>
            </w:r>
          </w:p>
        </w:tc>
        <w:tc>
          <w:tcPr>
            <w:tcW w:w="8364" w:type="dxa"/>
            <w:gridSpan w:val="2"/>
            <w:tcBorders>
              <w:top w:val="single" w:sz="6" w:space="0" w:color="BFBFBF" w:themeColor="background1" w:themeShade="BF"/>
              <w:bottom w:val="single" w:sz="6" w:space="0" w:color="BFBFBF" w:themeColor="background1" w:themeShade="BF"/>
            </w:tcBorders>
          </w:tcPr>
          <w:p w14:paraId="64143FDB" w14:textId="77777777" w:rsidR="00BE2E29" w:rsidRDefault="00BE2E29" w:rsidP="0052738D">
            <w:pPr>
              <w:spacing w:before="40" w:after="40" w:line="240" w:lineRule="auto"/>
              <w:ind w:left="602"/>
              <w:jc w:val="left"/>
              <w:rPr>
                <w:i/>
                <w:sz w:val="20"/>
                <w:szCs w:val="20"/>
              </w:rPr>
            </w:pPr>
          </w:p>
        </w:tc>
      </w:tr>
      <w:tr w:rsidR="00BE2E29" w:rsidRPr="00E00417" w14:paraId="377BEEB3" w14:textId="77777777" w:rsidTr="0052738D">
        <w:trPr>
          <w:gridAfter w:val="1"/>
          <w:wAfter w:w="284" w:type="dxa"/>
        </w:trPr>
        <w:tc>
          <w:tcPr>
            <w:tcW w:w="4536" w:type="dxa"/>
            <w:tcBorders>
              <w:top w:val="single" w:sz="6" w:space="0" w:color="BFBFBF" w:themeColor="background1" w:themeShade="BF"/>
              <w:bottom w:val="single" w:sz="6" w:space="0" w:color="BFBFBF" w:themeColor="background1" w:themeShade="BF"/>
            </w:tcBorders>
          </w:tcPr>
          <w:p w14:paraId="0C610B16" w14:textId="33E992A7" w:rsidR="00BE2E29" w:rsidRPr="00E00417" w:rsidRDefault="000A32DD" w:rsidP="00BE2E29">
            <w:pPr>
              <w:spacing w:before="40" w:after="40" w:line="240" w:lineRule="auto"/>
              <w:ind w:left="113"/>
              <w:jc w:val="left"/>
              <w:rPr>
                <w:sz w:val="20"/>
                <w:szCs w:val="20"/>
              </w:rPr>
            </w:pPr>
            <w:r>
              <w:rPr>
                <w:sz w:val="20"/>
                <w:szCs w:val="20"/>
              </w:rPr>
              <w:t>Cost of SRM deep burial ($/t)</w:t>
            </w:r>
          </w:p>
        </w:tc>
        <w:tc>
          <w:tcPr>
            <w:tcW w:w="992" w:type="dxa"/>
            <w:tcBorders>
              <w:top w:val="single" w:sz="6" w:space="0" w:color="BFBFBF" w:themeColor="background1" w:themeShade="BF"/>
              <w:bottom w:val="single" w:sz="6" w:space="0" w:color="BFBFBF" w:themeColor="background1" w:themeShade="BF"/>
            </w:tcBorders>
          </w:tcPr>
          <w:p w14:paraId="01F3134D" w14:textId="4832F789" w:rsidR="00BE2E29" w:rsidRPr="00E00417" w:rsidRDefault="00BE2E29" w:rsidP="00BE2E29">
            <w:pPr>
              <w:spacing w:before="40" w:after="40" w:line="240" w:lineRule="auto"/>
              <w:ind w:left="34"/>
              <w:rPr>
                <w:i/>
                <w:sz w:val="20"/>
                <w:szCs w:val="20"/>
              </w:rPr>
            </w:pPr>
            <w:r>
              <w:rPr>
                <w:i/>
                <w:sz w:val="20"/>
                <w:szCs w:val="20"/>
              </w:rPr>
              <w:t>C</w:t>
            </w:r>
            <w:r w:rsidRPr="006807EC">
              <w:rPr>
                <w:i/>
                <w:sz w:val="20"/>
                <w:szCs w:val="20"/>
                <w:vertAlign w:val="subscript"/>
              </w:rPr>
              <w:t>I</w:t>
            </w:r>
          </w:p>
        </w:tc>
        <w:tc>
          <w:tcPr>
            <w:tcW w:w="8364" w:type="dxa"/>
            <w:gridSpan w:val="2"/>
            <w:tcBorders>
              <w:top w:val="single" w:sz="6" w:space="0" w:color="BFBFBF" w:themeColor="background1" w:themeShade="BF"/>
              <w:bottom w:val="single" w:sz="6" w:space="0" w:color="BFBFBF" w:themeColor="background1" w:themeShade="BF"/>
            </w:tcBorders>
          </w:tcPr>
          <w:p w14:paraId="65382F50" w14:textId="77777777" w:rsidR="00BE2E29" w:rsidRDefault="00BE2E29" w:rsidP="0052738D">
            <w:pPr>
              <w:spacing w:before="40" w:after="40" w:line="240" w:lineRule="auto"/>
              <w:ind w:left="602"/>
              <w:jc w:val="left"/>
              <w:rPr>
                <w:i/>
                <w:sz w:val="20"/>
                <w:szCs w:val="20"/>
              </w:rPr>
            </w:pPr>
          </w:p>
        </w:tc>
      </w:tr>
      <w:tr w:rsidR="00BE2E29" w:rsidRPr="00E00417" w14:paraId="099B90AF" w14:textId="77777777" w:rsidTr="0052738D">
        <w:trPr>
          <w:gridAfter w:val="1"/>
          <w:wAfter w:w="284" w:type="dxa"/>
        </w:trPr>
        <w:tc>
          <w:tcPr>
            <w:tcW w:w="4536" w:type="dxa"/>
            <w:tcBorders>
              <w:top w:val="single" w:sz="6" w:space="0" w:color="BFBFBF" w:themeColor="background1" w:themeShade="BF"/>
              <w:bottom w:val="single" w:sz="6" w:space="0" w:color="BFBFBF" w:themeColor="background1" w:themeShade="BF"/>
            </w:tcBorders>
          </w:tcPr>
          <w:p w14:paraId="17D32119" w14:textId="664F2872" w:rsidR="00BE2E29" w:rsidRPr="00E00417" w:rsidRDefault="00BE2E29" w:rsidP="00BE2E29">
            <w:pPr>
              <w:spacing w:before="40" w:after="40" w:line="240" w:lineRule="auto"/>
              <w:ind w:left="113"/>
              <w:jc w:val="left"/>
              <w:rPr>
                <w:sz w:val="20"/>
                <w:szCs w:val="20"/>
              </w:rPr>
            </w:pPr>
            <w:r>
              <w:rPr>
                <w:sz w:val="20"/>
                <w:szCs w:val="20"/>
              </w:rPr>
              <w:t>Conversion of wet to dry weight (%)</w:t>
            </w:r>
          </w:p>
        </w:tc>
        <w:tc>
          <w:tcPr>
            <w:tcW w:w="992" w:type="dxa"/>
            <w:tcBorders>
              <w:top w:val="single" w:sz="6" w:space="0" w:color="BFBFBF" w:themeColor="background1" w:themeShade="BF"/>
              <w:bottom w:val="single" w:sz="6" w:space="0" w:color="BFBFBF" w:themeColor="background1" w:themeShade="BF"/>
            </w:tcBorders>
          </w:tcPr>
          <w:p w14:paraId="19A985D0" w14:textId="05CF89EA" w:rsidR="00BE2E29" w:rsidRPr="00E00417" w:rsidRDefault="00BE2E29" w:rsidP="00BE2E29">
            <w:pPr>
              <w:spacing w:before="40" w:after="40" w:line="240" w:lineRule="auto"/>
              <w:ind w:left="34"/>
              <w:rPr>
                <w:i/>
                <w:sz w:val="20"/>
                <w:szCs w:val="20"/>
              </w:rPr>
            </w:pPr>
            <w:r>
              <w:rPr>
                <w:i/>
                <w:sz w:val="20"/>
                <w:szCs w:val="20"/>
              </w:rPr>
              <w:t>b</w:t>
            </w:r>
          </w:p>
        </w:tc>
        <w:tc>
          <w:tcPr>
            <w:tcW w:w="8364" w:type="dxa"/>
            <w:gridSpan w:val="2"/>
            <w:tcBorders>
              <w:top w:val="single" w:sz="6" w:space="0" w:color="BFBFBF" w:themeColor="background1" w:themeShade="BF"/>
              <w:bottom w:val="single" w:sz="6" w:space="0" w:color="BFBFBF" w:themeColor="background1" w:themeShade="BF"/>
            </w:tcBorders>
          </w:tcPr>
          <w:p w14:paraId="177F4C37" w14:textId="77777777" w:rsidR="00BE2E29" w:rsidRDefault="00BE2E29" w:rsidP="0052738D">
            <w:pPr>
              <w:spacing w:before="40" w:after="40" w:line="240" w:lineRule="auto"/>
              <w:ind w:left="602"/>
              <w:jc w:val="left"/>
              <w:rPr>
                <w:i/>
                <w:sz w:val="20"/>
                <w:szCs w:val="20"/>
              </w:rPr>
            </w:pPr>
          </w:p>
        </w:tc>
      </w:tr>
      <w:tr w:rsidR="00BE2E29" w:rsidRPr="00E00417" w14:paraId="2B309D0D" w14:textId="77777777" w:rsidTr="00213056">
        <w:trPr>
          <w:gridAfter w:val="1"/>
          <w:wAfter w:w="284" w:type="dxa"/>
        </w:trPr>
        <w:tc>
          <w:tcPr>
            <w:tcW w:w="4536" w:type="dxa"/>
            <w:tcBorders>
              <w:top w:val="single" w:sz="6" w:space="0" w:color="BFBFBF" w:themeColor="background1" w:themeShade="BF"/>
              <w:bottom w:val="single" w:sz="6" w:space="0" w:color="BFBFBF" w:themeColor="background1" w:themeShade="BF"/>
            </w:tcBorders>
          </w:tcPr>
          <w:p w14:paraId="17966E2E" w14:textId="05EA8A16" w:rsidR="00BE2E29" w:rsidRPr="00125FEF" w:rsidRDefault="00BE2E29" w:rsidP="00BE2E29">
            <w:pPr>
              <w:spacing w:before="40" w:after="40" w:line="240" w:lineRule="auto"/>
              <w:ind w:left="113"/>
              <w:jc w:val="left"/>
              <w:rPr>
                <w:sz w:val="20"/>
                <w:szCs w:val="20"/>
              </w:rPr>
            </w:pPr>
            <w:r w:rsidRPr="00125FEF">
              <w:rPr>
                <w:sz w:val="20"/>
                <w:szCs w:val="20"/>
              </w:rPr>
              <w:t>Price of rendered material ($/kg dry weight)</w:t>
            </w:r>
          </w:p>
        </w:tc>
        <w:tc>
          <w:tcPr>
            <w:tcW w:w="992" w:type="dxa"/>
            <w:tcBorders>
              <w:top w:val="single" w:sz="6" w:space="0" w:color="BFBFBF" w:themeColor="background1" w:themeShade="BF"/>
              <w:bottom w:val="single" w:sz="6" w:space="0" w:color="BFBFBF" w:themeColor="background1" w:themeShade="BF"/>
            </w:tcBorders>
          </w:tcPr>
          <w:p w14:paraId="010D94B6" w14:textId="11C02AB0" w:rsidR="00BE2E29" w:rsidRPr="00E00417" w:rsidRDefault="00BE2E29" w:rsidP="00BE2E29">
            <w:pPr>
              <w:spacing w:before="40" w:after="40" w:line="240" w:lineRule="auto"/>
              <w:ind w:left="34"/>
              <w:rPr>
                <w:i/>
                <w:sz w:val="20"/>
                <w:szCs w:val="20"/>
              </w:rPr>
            </w:pPr>
            <w:r w:rsidRPr="00125FEF">
              <w:rPr>
                <w:i/>
                <w:sz w:val="20"/>
                <w:szCs w:val="20"/>
              </w:rPr>
              <w:t>P</w:t>
            </w:r>
            <w:r w:rsidRPr="00125FEF">
              <w:rPr>
                <w:i/>
                <w:sz w:val="20"/>
                <w:szCs w:val="20"/>
                <w:vertAlign w:val="subscript"/>
              </w:rPr>
              <w:t>SRM</w:t>
            </w:r>
          </w:p>
        </w:tc>
        <w:tc>
          <w:tcPr>
            <w:tcW w:w="8364" w:type="dxa"/>
            <w:gridSpan w:val="2"/>
            <w:tcBorders>
              <w:top w:val="single" w:sz="6" w:space="0" w:color="BFBFBF" w:themeColor="background1" w:themeShade="BF"/>
              <w:bottom w:val="single" w:sz="6" w:space="0" w:color="BFBFBF" w:themeColor="background1" w:themeShade="BF"/>
            </w:tcBorders>
          </w:tcPr>
          <w:p w14:paraId="010EADDD" w14:textId="77777777" w:rsidR="00BE2E29" w:rsidRDefault="00BE2E29" w:rsidP="0052738D">
            <w:pPr>
              <w:spacing w:before="40" w:after="40" w:line="240" w:lineRule="auto"/>
              <w:ind w:left="602"/>
              <w:jc w:val="left"/>
              <w:rPr>
                <w:i/>
                <w:sz w:val="20"/>
                <w:szCs w:val="20"/>
              </w:rPr>
            </w:pPr>
          </w:p>
        </w:tc>
      </w:tr>
      <w:tr w:rsidR="000F6750" w:rsidRPr="00E00417" w14:paraId="7522528A" w14:textId="77777777" w:rsidTr="0032318A">
        <w:trPr>
          <w:gridAfter w:val="1"/>
          <w:wAfter w:w="284" w:type="dxa"/>
          <w:trHeight w:val="340"/>
        </w:trPr>
        <w:tc>
          <w:tcPr>
            <w:tcW w:w="4536" w:type="dxa"/>
            <w:tcBorders>
              <w:top w:val="single" w:sz="6" w:space="0" w:color="BFBFBF" w:themeColor="background1" w:themeShade="BF"/>
              <w:bottom w:val="single" w:sz="4" w:space="0" w:color="auto"/>
            </w:tcBorders>
            <w:vAlign w:val="center"/>
          </w:tcPr>
          <w:p w14:paraId="6C8BC152" w14:textId="77777777" w:rsidR="000F6750" w:rsidRPr="00E00417" w:rsidRDefault="000F6750" w:rsidP="0032318A">
            <w:pPr>
              <w:spacing w:before="40" w:after="40" w:line="240" w:lineRule="auto"/>
              <w:jc w:val="left"/>
              <w:rPr>
                <w:sz w:val="20"/>
                <w:szCs w:val="20"/>
              </w:rPr>
            </w:pPr>
            <w:r w:rsidRPr="00E00417">
              <w:rPr>
                <w:sz w:val="20"/>
                <w:szCs w:val="20"/>
              </w:rPr>
              <w:t>Total cost of SRM removal, all facilities</w:t>
            </w:r>
          </w:p>
        </w:tc>
        <w:tc>
          <w:tcPr>
            <w:tcW w:w="992" w:type="dxa"/>
            <w:tcBorders>
              <w:top w:val="single" w:sz="6" w:space="0" w:color="BFBFBF" w:themeColor="background1" w:themeShade="BF"/>
              <w:bottom w:val="single" w:sz="4" w:space="0" w:color="auto"/>
            </w:tcBorders>
            <w:vAlign w:val="center"/>
          </w:tcPr>
          <w:p w14:paraId="48845A67" w14:textId="6A1C558F" w:rsidR="000F6750" w:rsidRPr="00E00417" w:rsidRDefault="00FC0CA2" w:rsidP="0032318A">
            <w:pPr>
              <w:spacing w:before="40" w:after="40" w:line="240" w:lineRule="auto"/>
              <w:ind w:left="34"/>
              <w:jc w:val="left"/>
              <w:rPr>
                <w:i/>
                <w:sz w:val="20"/>
                <w:szCs w:val="20"/>
              </w:rPr>
            </w:pPr>
            <w:r>
              <w:rPr>
                <w:i/>
                <w:sz w:val="20"/>
                <w:szCs w:val="20"/>
              </w:rPr>
              <w:t>C</w:t>
            </w:r>
            <w:r w:rsidR="00CA5919">
              <w:rPr>
                <w:i/>
                <w:sz w:val="20"/>
                <w:szCs w:val="20"/>
              </w:rPr>
              <w:t>SRM</w:t>
            </w:r>
          </w:p>
        </w:tc>
        <w:tc>
          <w:tcPr>
            <w:tcW w:w="8364" w:type="dxa"/>
            <w:gridSpan w:val="2"/>
            <w:tcBorders>
              <w:top w:val="single" w:sz="6" w:space="0" w:color="BFBFBF" w:themeColor="background1" w:themeShade="BF"/>
              <w:bottom w:val="single" w:sz="4" w:space="0" w:color="auto"/>
            </w:tcBorders>
          </w:tcPr>
          <w:p w14:paraId="188D05C0" w14:textId="7D8466FB" w:rsidR="000F6750" w:rsidRPr="0052738D" w:rsidRDefault="00CD3EFF" w:rsidP="0052738D">
            <w:pPr>
              <w:spacing w:before="40" w:after="40" w:line="240" w:lineRule="auto"/>
              <w:ind w:left="602"/>
              <w:jc w:val="left"/>
              <w:rPr>
                <w:sz w:val="20"/>
                <w:szCs w:val="20"/>
              </w:rPr>
            </w:pPr>
            <m:oMathPara>
              <m:oMathParaPr>
                <m:jc m:val="left"/>
              </m:oMathParaPr>
              <m:oMath>
                <m:r>
                  <w:rPr>
                    <w:rFonts w:ascii="Cambria Math" w:hAnsi="Cambria Math"/>
                    <w:sz w:val="20"/>
                    <w:szCs w:val="20"/>
                  </w:rPr>
                  <m:t>CSRM=</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R</m:t>
                    </m:r>
                  </m:sub>
                </m:sSub>
                <m:sSub>
                  <m:sSubPr>
                    <m:ctrlPr>
                      <w:rPr>
                        <w:rFonts w:ascii="Cambria Math" w:hAnsi="Cambria Math"/>
                        <w:i/>
                        <w:sz w:val="20"/>
                        <w:szCs w:val="20"/>
                      </w:rPr>
                    </m:ctrlPr>
                  </m:sSubPr>
                  <m:e>
                    <m:r>
                      <w:rPr>
                        <w:rFonts w:ascii="Cambria Math" w:hAnsi="Cambria Math"/>
                        <w:sz w:val="20"/>
                        <w:szCs w:val="20"/>
                      </w:rPr>
                      <m:t>×FTE</m:t>
                    </m:r>
                  </m:e>
                  <m:sub>
                    <m:r>
                      <w:rPr>
                        <w:rFonts w:ascii="Cambria Math" w:hAnsi="Cambria Math"/>
                        <w:sz w:val="20"/>
                        <w:szCs w:val="20"/>
                      </w:rPr>
                      <m:t>SRM</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CFTE</m:t>
                    </m:r>
                  </m:e>
                  <m:sub>
                    <m:r>
                      <w:rPr>
                        <w:rFonts w:ascii="Cambria Math" w:hAnsi="Cambria Math"/>
                        <w:sz w:val="20"/>
                        <w:szCs w:val="20"/>
                      </w:rPr>
                      <m:t>SRM</m:t>
                    </m:r>
                  </m:sub>
                </m:sSub>
                <m:r>
                  <w:rPr>
                    <w:rFonts w:ascii="Cambria Math" w:hAnsi="Cambria Math"/>
                    <w:sz w:val="20"/>
                    <w:szCs w:val="20"/>
                  </w:rPr>
                  <m:t>+</m:t>
                </m:r>
                <m:d>
                  <m:dPr>
                    <m:ctrlPr>
                      <w:rPr>
                        <w:rFonts w:ascii="Cambria Math" w:hAnsi="Cambria Math"/>
                        <w:i/>
                        <w:sz w:val="20"/>
                        <w:szCs w:val="20"/>
                      </w:rPr>
                    </m:ctrlPr>
                  </m:dPr>
                  <m:e>
                    <m:f>
                      <m:fPr>
                        <m:ctrlPr>
                          <w:rPr>
                            <w:rFonts w:ascii="Cambria Math" w:hAnsi="Cambria Math"/>
                            <w:i/>
                            <w:sz w:val="20"/>
                            <w:szCs w:val="20"/>
                          </w:rPr>
                        </m:ctrlPr>
                      </m:fPr>
                      <m:num>
                        <m:sSub>
                          <m:sSubPr>
                            <m:ctrlPr>
                              <w:rPr>
                                <w:rFonts w:ascii="Cambria Math" w:hAnsi="Cambria Math"/>
                                <w:i/>
                                <w:sz w:val="20"/>
                                <w:szCs w:val="20"/>
                              </w:rPr>
                            </m:ctrlPr>
                          </m:sSubPr>
                          <m:e>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A</m:t>
                                </m:r>
                              </m:sub>
                            </m:sSub>
                            <m:r>
                              <w:rPr>
                                <w:rFonts w:ascii="Cambria Math" w:hAnsi="Cambria Math"/>
                                <w:sz w:val="20"/>
                                <w:szCs w:val="20"/>
                              </w:rPr>
                              <m:t>×SRM</m:t>
                            </m:r>
                          </m:e>
                          <m:sub>
                            <m:r>
                              <w:rPr>
                                <w:rFonts w:ascii="Cambria Math" w:hAnsi="Cambria Math"/>
                                <w:sz w:val="20"/>
                                <w:szCs w:val="20"/>
                              </w:rPr>
                              <m:t>AW</m:t>
                            </m:r>
                          </m:sub>
                        </m:sSub>
                      </m:num>
                      <m:den>
                        <m:r>
                          <w:rPr>
                            <w:rFonts w:ascii="Cambria Math" w:hAnsi="Cambria Math"/>
                            <w:sz w:val="20"/>
                            <w:szCs w:val="20"/>
                          </w:rPr>
                          <m:t>1000</m:t>
                        </m:r>
                      </m:den>
                    </m:f>
                  </m:e>
                </m:d>
              </m:oMath>
            </m:oMathPara>
          </w:p>
        </w:tc>
      </w:tr>
    </w:tbl>
    <w:p w14:paraId="65E5BC88" w14:textId="77777777" w:rsidR="00213056" w:rsidRDefault="00213056">
      <w:r>
        <w:br w:type="page"/>
      </w:r>
    </w:p>
    <w:p w14:paraId="39AC5042" w14:textId="09EB0526" w:rsidR="00286DB4" w:rsidRPr="004961BE" w:rsidRDefault="004961BE" w:rsidP="004961BE">
      <w:pPr>
        <w:spacing w:before="0" w:after="0" w:line="240" w:lineRule="auto"/>
        <w:rPr>
          <w:rFonts w:asciiTheme="minorHAnsi" w:hAnsiTheme="minorHAnsi" w:cstheme="minorHAnsi"/>
          <w:b/>
          <w:bCs/>
          <w:sz w:val="20"/>
          <w:szCs w:val="20"/>
        </w:rPr>
      </w:pPr>
      <w:r w:rsidRPr="004961BE">
        <w:rPr>
          <w:rFonts w:asciiTheme="minorHAnsi" w:hAnsiTheme="minorHAnsi" w:cstheme="minorHAnsi"/>
          <w:b/>
          <w:bCs/>
          <w:sz w:val="20"/>
          <w:szCs w:val="20"/>
        </w:rPr>
        <w:lastRenderedPageBreak/>
        <w:t>Table 6 continued</w:t>
      </w:r>
    </w:p>
    <w:tbl>
      <w:tblPr>
        <w:tblStyle w:val="TableGrid"/>
        <w:tblW w:w="13892" w:type="dxa"/>
        <w:tblBorders>
          <w:left w:val="none" w:sz="0" w:space="0" w:color="auto"/>
          <w:right w:val="none" w:sz="0" w:space="0" w:color="auto"/>
          <w:insideV w:val="none" w:sz="0" w:space="0" w:color="auto"/>
        </w:tblBorders>
        <w:tblLook w:val="04A0" w:firstRow="1" w:lastRow="0" w:firstColumn="1" w:lastColumn="0" w:noHBand="0" w:noVBand="1"/>
      </w:tblPr>
      <w:tblGrid>
        <w:gridCol w:w="4536"/>
        <w:gridCol w:w="992"/>
        <w:gridCol w:w="8364"/>
      </w:tblGrid>
      <w:tr w:rsidR="004961BE" w:rsidRPr="00E00417" w14:paraId="7E508662" w14:textId="77777777" w:rsidTr="00EA58F4">
        <w:tc>
          <w:tcPr>
            <w:tcW w:w="4536" w:type="dxa"/>
            <w:tcBorders>
              <w:top w:val="single" w:sz="12" w:space="0" w:color="auto"/>
              <w:bottom w:val="single" w:sz="6" w:space="0" w:color="auto"/>
            </w:tcBorders>
          </w:tcPr>
          <w:p w14:paraId="35C654DB" w14:textId="77777777" w:rsidR="004961BE" w:rsidRPr="00E00417" w:rsidRDefault="004961BE" w:rsidP="00EA58F4">
            <w:pPr>
              <w:spacing w:before="20" w:after="20" w:line="240" w:lineRule="auto"/>
              <w:rPr>
                <w:sz w:val="20"/>
                <w:szCs w:val="20"/>
              </w:rPr>
            </w:pPr>
            <w:r w:rsidRPr="00E00417">
              <w:rPr>
                <w:sz w:val="20"/>
                <w:szCs w:val="20"/>
              </w:rPr>
              <w:t>Parameter/Variable</w:t>
            </w:r>
          </w:p>
        </w:tc>
        <w:tc>
          <w:tcPr>
            <w:tcW w:w="992" w:type="dxa"/>
            <w:tcBorders>
              <w:top w:val="single" w:sz="12" w:space="0" w:color="auto"/>
              <w:bottom w:val="single" w:sz="6" w:space="0" w:color="auto"/>
            </w:tcBorders>
          </w:tcPr>
          <w:p w14:paraId="14B21BEB" w14:textId="77777777" w:rsidR="004961BE" w:rsidRPr="00E00417" w:rsidRDefault="004961BE" w:rsidP="00EA58F4">
            <w:pPr>
              <w:spacing w:before="20" w:after="20" w:line="240" w:lineRule="auto"/>
              <w:ind w:left="34"/>
              <w:rPr>
                <w:sz w:val="20"/>
                <w:szCs w:val="20"/>
              </w:rPr>
            </w:pPr>
            <w:r w:rsidRPr="00E00417">
              <w:rPr>
                <w:sz w:val="20"/>
                <w:szCs w:val="20"/>
              </w:rPr>
              <w:t>Notation</w:t>
            </w:r>
          </w:p>
        </w:tc>
        <w:tc>
          <w:tcPr>
            <w:tcW w:w="8364" w:type="dxa"/>
            <w:tcBorders>
              <w:top w:val="single" w:sz="12" w:space="0" w:color="auto"/>
              <w:bottom w:val="single" w:sz="6" w:space="0" w:color="auto"/>
            </w:tcBorders>
          </w:tcPr>
          <w:p w14:paraId="0FE5CF5B" w14:textId="77777777" w:rsidR="004961BE" w:rsidRPr="00E00417" w:rsidRDefault="004961BE" w:rsidP="00EA58F4">
            <w:pPr>
              <w:spacing w:before="20" w:after="20" w:line="240" w:lineRule="auto"/>
              <w:ind w:left="602"/>
              <w:jc w:val="left"/>
              <w:rPr>
                <w:sz w:val="20"/>
                <w:szCs w:val="20"/>
              </w:rPr>
            </w:pPr>
            <w:r>
              <w:rPr>
                <w:sz w:val="20"/>
                <w:szCs w:val="20"/>
              </w:rPr>
              <w:t>Calculation</w:t>
            </w:r>
          </w:p>
        </w:tc>
      </w:tr>
      <w:tr w:rsidR="004961BE" w:rsidRPr="00E00417" w14:paraId="5EAA40EB" w14:textId="77777777" w:rsidTr="00EA58F4">
        <w:trPr>
          <w:trHeight w:val="397"/>
        </w:trPr>
        <w:tc>
          <w:tcPr>
            <w:tcW w:w="4536" w:type="dxa"/>
            <w:tcBorders>
              <w:top w:val="single" w:sz="6" w:space="0" w:color="BFBFBF" w:themeColor="background1" w:themeShade="BF"/>
              <w:bottom w:val="single" w:sz="6" w:space="0" w:color="BFBFBF" w:themeColor="background1" w:themeShade="BF"/>
            </w:tcBorders>
            <w:vAlign w:val="bottom"/>
          </w:tcPr>
          <w:p w14:paraId="724063DF" w14:textId="77777777" w:rsidR="004961BE" w:rsidRPr="00E00417" w:rsidRDefault="004961BE" w:rsidP="00EA58F4">
            <w:pPr>
              <w:spacing w:before="40" w:after="40" w:line="240" w:lineRule="auto"/>
              <w:jc w:val="left"/>
              <w:rPr>
                <w:sz w:val="20"/>
                <w:szCs w:val="20"/>
              </w:rPr>
            </w:pPr>
            <w:r>
              <w:rPr>
                <w:b/>
                <w:sz w:val="20"/>
                <w:szCs w:val="20"/>
              </w:rPr>
              <w:t>3.</w:t>
            </w:r>
            <w:r w:rsidRPr="00E00417">
              <w:rPr>
                <w:b/>
                <w:sz w:val="20"/>
                <w:szCs w:val="20"/>
              </w:rPr>
              <w:t>High pressure processing for rendered meals</w:t>
            </w:r>
          </w:p>
        </w:tc>
        <w:tc>
          <w:tcPr>
            <w:tcW w:w="992" w:type="dxa"/>
            <w:tcBorders>
              <w:top w:val="single" w:sz="6" w:space="0" w:color="BFBFBF" w:themeColor="background1" w:themeShade="BF"/>
              <w:bottom w:val="single" w:sz="6" w:space="0" w:color="BFBFBF" w:themeColor="background1" w:themeShade="BF"/>
            </w:tcBorders>
            <w:vAlign w:val="bottom"/>
          </w:tcPr>
          <w:p w14:paraId="2B444F09" w14:textId="77777777" w:rsidR="004961BE" w:rsidRPr="00E00417" w:rsidRDefault="004961BE" w:rsidP="00EA58F4">
            <w:pPr>
              <w:spacing w:before="40" w:after="40" w:line="240" w:lineRule="auto"/>
              <w:ind w:left="34"/>
              <w:jc w:val="left"/>
              <w:rPr>
                <w:i/>
                <w:sz w:val="20"/>
                <w:szCs w:val="20"/>
              </w:rPr>
            </w:pPr>
          </w:p>
        </w:tc>
        <w:tc>
          <w:tcPr>
            <w:tcW w:w="8364" w:type="dxa"/>
            <w:tcBorders>
              <w:top w:val="single" w:sz="6" w:space="0" w:color="BFBFBF" w:themeColor="background1" w:themeShade="BF"/>
              <w:bottom w:val="single" w:sz="6" w:space="0" w:color="BFBFBF" w:themeColor="background1" w:themeShade="BF"/>
            </w:tcBorders>
            <w:vAlign w:val="bottom"/>
          </w:tcPr>
          <w:p w14:paraId="7698CAD5" w14:textId="77777777" w:rsidR="004961BE" w:rsidRDefault="004961BE" w:rsidP="00EA58F4">
            <w:pPr>
              <w:spacing w:before="40" w:after="40" w:line="240" w:lineRule="auto"/>
              <w:ind w:left="602"/>
              <w:jc w:val="left"/>
              <w:rPr>
                <w:i/>
                <w:sz w:val="20"/>
                <w:szCs w:val="20"/>
              </w:rPr>
            </w:pPr>
          </w:p>
        </w:tc>
      </w:tr>
      <w:tr w:rsidR="004961BE" w:rsidRPr="00E00417" w14:paraId="0A1F0B64" w14:textId="77777777" w:rsidTr="00EA58F4">
        <w:tc>
          <w:tcPr>
            <w:tcW w:w="4536" w:type="dxa"/>
            <w:tcBorders>
              <w:top w:val="single" w:sz="6" w:space="0" w:color="BFBFBF" w:themeColor="background1" w:themeShade="BF"/>
              <w:bottom w:val="single" w:sz="6" w:space="0" w:color="BFBFBF" w:themeColor="background1" w:themeShade="BF"/>
            </w:tcBorders>
          </w:tcPr>
          <w:p w14:paraId="448954CF" w14:textId="77777777" w:rsidR="004961BE" w:rsidRPr="00E00417" w:rsidRDefault="004961BE" w:rsidP="00EA58F4">
            <w:pPr>
              <w:spacing w:before="40" w:after="40" w:line="240" w:lineRule="auto"/>
              <w:ind w:left="176"/>
              <w:jc w:val="left"/>
              <w:rPr>
                <w:sz w:val="20"/>
                <w:szCs w:val="20"/>
              </w:rPr>
            </w:pPr>
            <w:r>
              <w:rPr>
                <w:sz w:val="20"/>
                <w:szCs w:val="20"/>
              </w:rPr>
              <w:t>Number of abattoirs requiring upgrade (no.)</w:t>
            </w:r>
          </w:p>
        </w:tc>
        <w:tc>
          <w:tcPr>
            <w:tcW w:w="992" w:type="dxa"/>
            <w:tcBorders>
              <w:top w:val="single" w:sz="6" w:space="0" w:color="BFBFBF" w:themeColor="background1" w:themeShade="BF"/>
              <w:bottom w:val="single" w:sz="6" w:space="0" w:color="BFBFBF" w:themeColor="background1" w:themeShade="BF"/>
            </w:tcBorders>
          </w:tcPr>
          <w:p w14:paraId="63875014" w14:textId="77777777" w:rsidR="004961BE" w:rsidRPr="00E00417" w:rsidRDefault="004961BE" w:rsidP="00EA58F4">
            <w:pPr>
              <w:spacing w:before="40" w:after="40" w:line="240" w:lineRule="auto"/>
              <w:ind w:left="34"/>
              <w:rPr>
                <w:i/>
                <w:sz w:val="20"/>
                <w:szCs w:val="20"/>
              </w:rPr>
            </w:pPr>
            <w:r w:rsidRPr="00C67A86">
              <w:rPr>
                <w:i/>
                <w:sz w:val="20"/>
                <w:szCs w:val="20"/>
              </w:rPr>
              <w:t>N</w:t>
            </w:r>
            <w:r w:rsidRPr="002E51F6">
              <w:rPr>
                <w:i/>
                <w:sz w:val="20"/>
                <w:szCs w:val="20"/>
                <w:vertAlign w:val="subscript"/>
              </w:rPr>
              <w:t>R</w:t>
            </w:r>
          </w:p>
        </w:tc>
        <w:tc>
          <w:tcPr>
            <w:tcW w:w="8364" w:type="dxa"/>
            <w:tcBorders>
              <w:top w:val="single" w:sz="6" w:space="0" w:color="BFBFBF" w:themeColor="background1" w:themeShade="BF"/>
              <w:bottom w:val="single" w:sz="6" w:space="0" w:color="BFBFBF" w:themeColor="background1" w:themeShade="BF"/>
            </w:tcBorders>
          </w:tcPr>
          <w:p w14:paraId="59180906" w14:textId="77777777" w:rsidR="004961BE" w:rsidRPr="0052738D" w:rsidRDefault="004961BE" w:rsidP="00EA58F4">
            <w:pPr>
              <w:spacing w:before="40" w:after="40" w:line="240" w:lineRule="auto"/>
              <w:ind w:left="602"/>
              <w:rPr>
                <w:sz w:val="20"/>
                <w:szCs w:val="20"/>
              </w:rPr>
            </w:pPr>
          </w:p>
        </w:tc>
      </w:tr>
      <w:tr w:rsidR="004961BE" w:rsidRPr="00E00417" w14:paraId="2D33ED25" w14:textId="77777777" w:rsidTr="00EA58F4">
        <w:tc>
          <w:tcPr>
            <w:tcW w:w="4536" w:type="dxa"/>
            <w:tcBorders>
              <w:top w:val="single" w:sz="6" w:space="0" w:color="BFBFBF" w:themeColor="background1" w:themeShade="BF"/>
              <w:bottom w:val="single" w:sz="6" w:space="0" w:color="BFBFBF" w:themeColor="background1" w:themeShade="BF"/>
            </w:tcBorders>
          </w:tcPr>
          <w:p w14:paraId="6404B77E" w14:textId="77777777" w:rsidR="004961BE" w:rsidRPr="00E00417" w:rsidRDefault="004961BE" w:rsidP="00EA58F4">
            <w:pPr>
              <w:spacing w:before="40" w:after="40" w:line="240" w:lineRule="auto"/>
              <w:ind w:left="176"/>
              <w:jc w:val="left"/>
              <w:rPr>
                <w:sz w:val="20"/>
                <w:szCs w:val="20"/>
              </w:rPr>
            </w:pPr>
            <w:r>
              <w:rPr>
                <w:sz w:val="20"/>
                <w:szCs w:val="20"/>
              </w:rPr>
              <w:t>Cost of high-pressure cleaning upgrade ($)</w:t>
            </w:r>
          </w:p>
        </w:tc>
        <w:tc>
          <w:tcPr>
            <w:tcW w:w="992" w:type="dxa"/>
            <w:tcBorders>
              <w:top w:val="single" w:sz="6" w:space="0" w:color="BFBFBF" w:themeColor="background1" w:themeShade="BF"/>
              <w:bottom w:val="single" w:sz="6" w:space="0" w:color="BFBFBF" w:themeColor="background1" w:themeShade="BF"/>
            </w:tcBorders>
          </w:tcPr>
          <w:p w14:paraId="24005782" w14:textId="77777777" w:rsidR="004961BE" w:rsidRPr="00E00417" w:rsidRDefault="004961BE" w:rsidP="00EA58F4">
            <w:pPr>
              <w:spacing w:before="40" w:after="40" w:line="240" w:lineRule="auto"/>
              <w:ind w:left="34"/>
              <w:rPr>
                <w:i/>
                <w:sz w:val="20"/>
                <w:szCs w:val="20"/>
              </w:rPr>
            </w:pPr>
            <w:r>
              <w:rPr>
                <w:i/>
                <w:sz w:val="20"/>
                <w:szCs w:val="20"/>
              </w:rPr>
              <w:t>CU</w:t>
            </w:r>
            <w:r w:rsidRPr="00495CC5">
              <w:rPr>
                <w:i/>
                <w:sz w:val="20"/>
                <w:szCs w:val="20"/>
                <w:vertAlign w:val="subscript"/>
              </w:rPr>
              <w:t>HPP</w:t>
            </w:r>
          </w:p>
        </w:tc>
        <w:tc>
          <w:tcPr>
            <w:tcW w:w="8364" w:type="dxa"/>
            <w:tcBorders>
              <w:top w:val="single" w:sz="6" w:space="0" w:color="BFBFBF" w:themeColor="background1" w:themeShade="BF"/>
              <w:bottom w:val="single" w:sz="6" w:space="0" w:color="BFBFBF" w:themeColor="background1" w:themeShade="BF"/>
            </w:tcBorders>
          </w:tcPr>
          <w:p w14:paraId="3C29DDEF" w14:textId="77777777" w:rsidR="004961BE" w:rsidRDefault="004961BE" w:rsidP="00EA58F4">
            <w:pPr>
              <w:spacing w:before="40" w:after="40" w:line="240" w:lineRule="auto"/>
              <w:ind w:left="602"/>
              <w:rPr>
                <w:i/>
                <w:sz w:val="20"/>
                <w:szCs w:val="20"/>
              </w:rPr>
            </w:pPr>
          </w:p>
        </w:tc>
      </w:tr>
      <w:tr w:rsidR="004961BE" w:rsidRPr="00E00417" w14:paraId="685E7162" w14:textId="77777777" w:rsidTr="00EA58F4">
        <w:tc>
          <w:tcPr>
            <w:tcW w:w="4536" w:type="dxa"/>
            <w:tcBorders>
              <w:top w:val="single" w:sz="6" w:space="0" w:color="BFBFBF" w:themeColor="background1" w:themeShade="BF"/>
              <w:bottom w:val="single" w:sz="6" w:space="0" w:color="BFBFBF" w:themeColor="background1" w:themeShade="BF"/>
            </w:tcBorders>
          </w:tcPr>
          <w:p w14:paraId="3C1D7DAE" w14:textId="77777777" w:rsidR="004961BE" w:rsidRPr="00E00417" w:rsidRDefault="004961BE" w:rsidP="00D641E9">
            <w:pPr>
              <w:spacing w:before="40" w:after="40" w:line="240" w:lineRule="auto"/>
              <w:ind w:left="176"/>
              <w:jc w:val="left"/>
              <w:rPr>
                <w:sz w:val="20"/>
                <w:szCs w:val="20"/>
              </w:rPr>
            </w:pPr>
            <w:r>
              <w:rPr>
                <w:sz w:val="20"/>
                <w:szCs w:val="20"/>
              </w:rPr>
              <w:t>Total cost of u</w:t>
            </w:r>
            <w:r w:rsidRPr="00E00417">
              <w:rPr>
                <w:sz w:val="20"/>
                <w:szCs w:val="20"/>
              </w:rPr>
              <w:t>pgrad</w:t>
            </w:r>
            <w:r>
              <w:rPr>
                <w:sz w:val="20"/>
                <w:szCs w:val="20"/>
              </w:rPr>
              <w:t>ing to HPP ($)</w:t>
            </w:r>
          </w:p>
        </w:tc>
        <w:tc>
          <w:tcPr>
            <w:tcW w:w="992" w:type="dxa"/>
            <w:tcBorders>
              <w:top w:val="single" w:sz="6" w:space="0" w:color="BFBFBF" w:themeColor="background1" w:themeShade="BF"/>
              <w:bottom w:val="single" w:sz="6" w:space="0" w:color="BFBFBF" w:themeColor="background1" w:themeShade="BF"/>
            </w:tcBorders>
          </w:tcPr>
          <w:p w14:paraId="526B62DD" w14:textId="77777777" w:rsidR="004961BE" w:rsidRPr="00E00417" w:rsidRDefault="004961BE" w:rsidP="00EA58F4">
            <w:pPr>
              <w:spacing w:before="40" w:after="40" w:line="240" w:lineRule="auto"/>
              <w:ind w:left="34"/>
              <w:rPr>
                <w:sz w:val="20"/>
                <w:szCs w:val="20"/>
              </w:rPr>
            </w:pPr>
            <w:r>
              <w:rPr>
                <w:i/>
                <w:sz w:val="20"/>
                <w:szCs w:val="20"/>
              </w:rPr>
              <w:t>CHPP</w:t>
            </w:r>
          </w:p>
        </w:tc>
        <w:tc>
          <w:tcPr>
            <w:tcW w:w="8364" w:type="dxa"/>
            <w:tcBorders>
              <w:top w:val="single" w:sz="6" w:space="0" w:color="BFBFBF" w:themeColor="background1" w:themeShade="BF"/>
              <w:bottom w:val="single" w:sz="6" w:space="0" w:color="BFBFBF" w:themeColor="background1" w:themeShade="BF"/>
            </w:tcBorders>
          </w:tcPr>
          <w:p w14:paraId="7CBC8C47" w14:textId="77777777" w:rsidR="004961BE" w:rsidRPr="0052738D" w:rsidRDefault="004961BE" w:rsidP="00EA58F4">
            <w:pPr>
              <w:spacing w:before="40" w:after="40" w:line="240" w:lineRule="auto"/>
              <w:ind w:left="602"/>
              <w:rPr>
                <w:sz w:val="20"/>
                <w:szCs w:val="20"/>
              </w:rPr>
            </w:pPr>
            <m:oMathPara>
              <m:oMathParaPr>
                <m:jc m:val="left"/>
              </m:oMathParaPr>
              <m:oMath>
                <m:r>
                  <w:rPr>
                    <w:rFonts w:ascii="Cambria Math" w:hAnsi="Cambria Math"/>
                    <w:sz w:val="20"/>
                    <w:szCs w:val="20"/>
                  </w:rPr>
                  <m:t>CHPP=</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R</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CU</m:t>
                    </m:r>
                  </m:e>
                  <m:sub>
                    <m:r>
                      <w:rPr>
                        <w:rFonts w:ascii="Cambria Math" w:hAnsi="Cambria Math"/>
                        <w:sz w:val="20"/>
                        <w:szCs w:val="20"/>
                      </w:rPr>
                      <m:t>HPP</m:t>
                    </m:r>
                  </m:sub>
                </m:sSub>
              </m:oMath>
            </m:oMathPara>
          </w:p>
        </w:tc>
      </w:tr>
      <w:tr w:rsidR="004961BE" w:rsidRPr="00E00417" w14:paraId="2410DC0B" w14:textId="77777777" w:rsidTr="00EA58F4">
        <w:trPr>
          <w:trHeight w:val="397"/>
        </w:trPr>
        <w:tc>
          <w:tcPr>
            <w:tcW w:w="5528" w:type="dxa"/>
            <w:gridSpan w:val="2"/>
            <w:tcBorders>
              <w:top w:val="single" w:sz="6" w:space="0" w:color="BFBFBF" w:themeColor="background1" w:themeShade="BF"/>
              <w:bottom w:val="single" w:sz="6" w:space="0" w:color="BFBFBF" w:themeColor="background1" w:themeShade="BF"/>
            </w:tcBorders>
            <w:vAlign w:val="bottom"/>
          </w:tcPr>
          <w:p w14:paraId="0A30A488" w14:textId="77777777" w:rsidR="004961BE" w:rsidRPr="00E00417" w:rsidRDefault="004961BE" w:rsidP="00EA58F4">
            <w:pPr>
              <w:spacing w:before="40" w:after="40" w:line="240" w:lineRule="auto"/>
              <w:ind w:left="34"/>
              <w:jc w:val="left"/>
              <w:rPr>
                <w:i/>
                <w:sz w:val="20"/>
                <w:szCs w:val="20"/>
              </w:rPr>
            </w:pPr>
            <w:r>
              <w:rPr>
                <w:b/>
                <w:sz w:val="20"/>
                <w:szCs w:val="20"/>
              </w:rPr>
              <w:t xml:space="preserve">4. </w:t>
            </w:r>
            <w:r w:rsidRPr="00E00417">
              <w:rPr>
                <w:b/>
                <w:sz w:val="20"/>
                <w:szCs w:val="20"/>
              </w:rPr>
              <w:t>Dedicated feed lines for production of ruminant feed</w:t>
            </w:r>
          </w:p>
        </w:tc>
        <w:tc>
          <w:tcPr>
            <w:tcW w:w="8364" w:type="dxa"/>
            <w:tcBorders>
              <w:top w:val="single" w:sz="6" w:space="0" w:color="BFBFBF" w:themeColor="background1" w:themeShade="BF"/>
              <w:bottom w:val="single" w:sz="6" w:space="0" w:color="BFBFBF" w:themeColor="background1" w:themeShade="BF"/>
            </w:tcBorders>
            <w:vAlign w:val="bottom"/>
          </w:tcPr>
          <w:p w14:paraId="0724A66A" w14:textId="77777777" w:rsidR="004961BE" w:rsidRDefault="004961BE" w:rsidP="00EA58F4">
            <w:pPr>
              <w:spacing w:before="40" w:after="40" w:line="240" w:lineRule="auto"/>
              <w:ind w:left="602"/>
              <w:jc w:val="left"/>
              <w:rPr>
                <w:i/>
                <w:sz w:val="20"/>
                <w:szCs w:val="20"/>
              </w:rPr>
            </w:pPr>
          </w:p>
        </w:tc>
      </w:tr>
      <w:tr w:rsidR="004961BE" w:rsidRPr="00E00417" w14:paraId="3CBFA678" w14:textId="77777777" w:rsidTr="00EA58F4">
        <w:tc>
          <w:tcPr>
            <w:tcW w:w="4536" w:type="dxa"/>
            <w:tcBorders>
              <w:top w:val="single" w:sz="6" w:space="0" w:color="BFBFBF" w:themeColor="background1" w:themeShade="BF"/>
              <w:bottom w:val="single" w:sz="6" w:space="0" w:color="BFBFBF" w:themeColor="background1" w:themeShade="BF"/>
            </w:tcBorders>
          </w:tcPr>
          <w:p w14:paraId="35D659EE" w14:textId="77777777" w:rsidR="004961BE" w:rsidRPr="00E00417" w:rsidRDefault="004961BE" w:rsidP="00990B17">
            <w:pPr>
              <w:spacing w:before="40" w:after="40" w:line="240" w:lineRule="auto"/>
              <w:ind w:left="171"/>
              <w:jc w:val="left"/>
              <w:rPr>
                <w:sz w:val="20"/>
                <w:szCs w:val="20"/>
              </w:rPr>
            </w:pPr>
            <w:r>
              <w:rPr>
                <w:sz w:val="20"/>
                <w:szCs w:val="20"/>
              </w:rPr>
              <w:t>Cost of installing a production line ($ m)</w:t>
            </w:r>
          </w:p>
        </w:tc>
        <w:tc>
          <w:tcPr>
            <w:tcW w:w="992" w:type="dxa"/>
            <w:tcBorders>
              <w:top w:val="single" w:sz="6" w:space="0" w:color="BFBFBF" w:themeColor="background1" w:themeShade="BF"/>
              <w:bottom w:val="single" w:sz="6" w:space="0" w:color="BFBFBF" w:themeColor="background1" w:themeShade="BF"/>
            </w:tcBorders>
          </w:tcPr>
          <w:p w14:paraId="7B44C152" w14:textId="77777777" w:rsidR="004961BE" w:rsidRPr="00453D90" w:rsidRDefault="004961BE" w:rsidP="00EA58F4">
            <w:pPr>
              <w:spacing w:before="40" w:after="40" w:line="240" w:lineRule="auto"/>
              <w:ind w:left="34"/>
              <w:rPr>
                <w:i/>
                <w:sz w:val="20"/>
                <w:szCs w:val="20"/>
                <w:vertAlign w:val="subscript"/>
              </w:rPr>
            </w:pPr>
            <w:r>
              <w:rPr>
                <w:i/>
                <w:sz w:val="20"/>
                <w:szCs w:val="20"/>
              </w:rPr>
              <w:t>CU</w:t>
            </w:r>
            <w:r>
              <w:rPr>
                <w:i/>
                <w:sz w:val="20"/>
                <w:szCs w:val="20"/>
                <w:vertAlign w:val="subscript"/>
              </w:rPr>
              <w:t>PL</w:t>
            </w:r>
          </w:p>
        </w:tc>
        <w:tc>
          <w:tcPr>
            <w:tcW w:w="8364" w:type="dxa"/>
            <w:tcBorders>
              <w:top w:val="single" w:sz="6" w:space="0" w:color="BFBFBF" w:themeColor="background1" w:themeShade="BF"/>
              <w:bottom w:val="single" w:sz="6" w:space="0" w:color="BFBFBF" w:themeColor="background1" w:themeShade="BF"/>
            </w:tcBorders>
          </w:tcPr>
          <w:p w14:paraId="17B95A08" w14:textId="77777777" w:rsidR="004961BE" w:rsidRPr="00E00417" w:rsidRDefault="004961BE" w:rsidP="00EA58F4">
            <w:pPr>
              <w:spacing w:before="40" w:after="40" w:line="240" w:lineRule="auto"/>
              <w:ind w:left="602"/>
              <w:rPr>
                <w:sz w:val="20"/>
                <w:szCs w:val="20"/>
              </w:rPr>
            </w:pPr>
          </w:p>
        </w:tc>
      </w:tr>
      <w:tr w:rsidR="004961BE" w:rsidRPr="00E00417" w14:paraId="1A6D4E14" w14:textId="77777777" w:rsidTr="00EA58F4">
        <w:tc>
          <w:tcPr>
            <w:tcW w:w="4536" w:type="dxa"/>
            <w:tcBorders>
              <w:top w:val="single" w:sz="6" w:space="0" w:color="BFBFBF" w:themeColor="background1" w:themeShade="BF"/>
              <w:bottom w:val="single" w:sz="6" w:space="0" w:color="BFBFBF" w:themeColor="background1" w:themeShade="BF"/>
            </w:tcBorders>
          </w:tcPr>
          <w:p w14:paraId="1F6220F6" w14:textId="77777777" w:rsidR="004961BE" w:rsidRPr="00E00417" w:rsidRDefault="004961BE" w:rsidP="00990B17">
            <w:pPr>
              <w:spacing w:before="40" w:after="40" w:line="240" w:lineRule="auto"/>
              <w:ind w:left="171"/>
              <w:jc w:val="left"/>
              <w:rPr>
                <w:sz w:val="20"/>
                <w:szCs w:val="20"/>
              </w:rPr>
            </w:pPr>
            <w:r>
              <w:rPr>
                <w:sz w:val="20"/>
                <w:szCs w:val="20"/>
              </w:rPr>
              <w:t xml:space="preserve">Total number of feed mills </w:t>
            </w:r>
          </w:p>
        </w:tc>
        <w:tc>
          <w:tcPr>
            <w:tcW w:w="992" w:type="dxa"/>
            <w:tcBorders>
              <w:top w:val="single" w:sz="6" w:space="0" w:color="BFBFBF" w:themeColor="background1" w:themeShade="BF"/>
              <w:bottom w:val="single" w:sz="6" w:space="0" w:color="BFBFBF" w:themeColor="background1" w:themeShade="BF"/>
            </w:tcBorders>
          </w:tcPr>
          <w:p w14:paraId="12974F44" w14:textId="77777777" w:rsidR="004961BE" w:rsidRPr="00E00417" w:rsidRDefault="004961BE" w:rsidP="00EA58F4">
            <w:pPr>
              <w:spacing w:before="40" w:after="40" w:line="240" w:lineRule="auto"/>
              <w:ind w:left="34"/>
              <w:rPr>
                <w:i/>
                <w:sz w:val="20"/>
                <w:szCs w:val="20"/>
              </w:rPr>
            </w:pPr>
            <w:r>
              <w:rPr>
                <w:i/>
                <w:sz w:val="20"/>
                <w:szCs w:val="20"/>
              </w:rPr>
              <w:t>NM</w:t>
            </w:r>
          </w:p>
        </w:tc>
        <w:tc>
          <w:tcPr>
            <w:tcW w:w="8364" w:type="dxa"/>
            <w:tcBorders>
              <w:top w:val="single" w:sz="6" w:space="0" w:color="BFBFBF" w:themeColor="background1" w:themeShade="BF"/>
              <w:bottom w:val="single" w:sz="6" w:space="0" w:color="BFBFBF" w:themeColor="background1" w:themeShade="BF"/>
            </w:tcBorders>
          </w:tcPr>
          <w:p w14:paraId="51C8ABA2" w14:textId="77777777" w:rsidR="004961BE" w:rsidRPr="00E00417" w:rsidRDefault="004961BE" w:rsidP="00EA58F4">
            <w:pPr>
              <w:spacing w:before="40" w:after="40" w:line="240" w:lineRule="auto"/>
              <w:ind w:left="602"/>
              <w:rPr>
                <w:sz w:val="20"/>
                <w:szCs w:val="20"/>
              </w:rPr>
            </w:pPr>
          </w:p>
        </w:tc>
      </w:tr>
      <w:tr w:rsidR="004961BE" w:rsidRPr="00E00417" w14:paraId="0769EC00" w14:textId="77777777" w:rsidTr="00EA58F4">
        <w:tc>
          <w:tcPr>
            <w:tcW w:w="4536" w:type="dxa"/>
            <w:tcBorders>
              <w:top w:val="single" w:sz="6" w:space="0" w:color="BFBFBF" w:themeColor="background1" w:themeShade="BF"/>
              <w:bottom w:val="single" w:sz="6" w:space="0" w:color="BFBFBF" w:themeColor="background1" w:themeShade="BF"/>
            </w:tcBorders>
          </w:tcPr>
          <w:p w14:paraId="6E592224" w14:textId="77777777" w:rsidR="004961BE" w:rsidRPr="00E00417" w:rsidRDefault="004961BE" w:rsidP="00990B17">
            <w:pPr>
              <w:spacing w:before="40" w:after="40" w:line="240" w:lineRule="auto"/>
              <w:ind w:left="171"/>
              <w:jc w:val="left"/>
              <w:rPr>
                <w:sz w:val="20"/>
                <w:szCs w:val="20"/>
              </w:rPr>
            </w:pPr>
            <w:r>
              <w:rPr>
                <w:sz w:val="20"/>
                <w:szCs w:val="20"/>
              </w:rPr>
              <w:t>Proportion of mills installing new lines</w:t>
            </w:r>
          </w:p>
        </w:tc>
        <w:tc>
          <w:tcPr>
            <w:tcW w:w="992" w:type="dxa"/>
            <w:tcBorders>
              <w:top w:val="single" w:sz="6" w:space="0" w:color="BFBFBF" w:themeColor="background1" w:themeShade="BF"/>
              <w:bottom w:val="single" w:sz="6" w:space="0" w:color="BFBFBF" w:themeColor="background1" w:themeShade="BF"/>
            </w:tcBorders>
          </w:tcPr>
          <w:p w14:paraId="6C7FA6DA" w14:textId="77777777" w:rsidR="004961BE" w:rsidRPr="00E00417" w:rsidRDefault="004961BE" w:rsidP="00EA58F4">
            <w:pPr>
              <w:spacing w:before="40" w:after="40" w:line="240" w:lineRule="auto"/>
              <w:ind w:left="34"/>
              <w:rPr>
                <w:i/>
                <w:sz w:val="20"/>
                <w:szCs w:val="20"/>
              </w:rPr>
            </w:pPr>
            <w:r>
              <w:rPr>
                <w:i/>
                <w:sz w:val="20"/>
                <w:szCs w:val="20"/>
              </w:rPr>
              <w:t>prop</w:t>
            </w:r>
          </w:p>
        </w:tc>
        <w:tc>
          <w:tcPr>
            <w:tcW w:w="8364" w:type="dxa"/>
            <w:tcBorders>
              <w:top w:val="single" w:sz="6" w:space="0" w:color="BFBFBF" w:themeColor="background1" w:themeShade="BF"/>
              <w:bottom w:val="single" w:sz="6" w:space="0" w:color="BFBFBF" w:themeColor="background1" w:themeShade="BF"/>
            </w:tcBorders>
          </w:tcPr>
          <w:p w14:paraId="7830E90F" w14:textId="77777777" w:rsidR="004961BE" w:rsidRPr="00E00417" w:rsidRDefault="004961BE" w:rsidP="00EA58F4">
            <w:pPr>
              <w:spacing w:before="40" w:after="40" w:line="240" w:lineRule="auto"/>
              <w:ind w:left="602"/>
              <w:rPr>
                <w:sz w:val="20"/>
                <w:szCs w:val="20"/>
              </w:rPr>
            </w:pPr>
          </w:p>
        </w:tc>
      </w:tr>
      <w:tr w:rsidR="004961BE" w:rsidRPr="00E00417" w14:paraId="6605EE66" w14:textId="77777777" w:rsidTr="00EA58F4">
        <w:tc>
          <w:tcPr>
            <w:tcW w:w="4536" w:type="dxa"/>
            <w:tcBorders>
              <w:top w:val="single" w:sz="6" w:space="0" w:color="BFBFBF" w:themeColor="background1" w:themeShade="BF"/>
              <w:bottom w:val="single" w:sz="6" w:space="0" w:color="BFBFBF" w:themeColor="background1" w:themeShade="BF"/>
            </w:tcBorders>
          </w:tcPr>
          <w:p w14:paraId="058F5FBF" w14:textId="77777777" w:rsidR="004961BE" w:rsidRPr="00E00417" w:rsidRDefault="004961BE" w:rsidP="00990B17">
            <w:pPr>
              <w:spacing w:before="40" w:after="40" w:line="240" w:lineRule="auto"/>
              <w:ind w:left="171"/>
              <w:jc w:val="left"/>
              <w:rPr>
                <w:sz w:val="20"/>
                <w:szCs w:val="20"/>
              </w:rPr>
            </w:pPr>
            <w:r>
              <w:rPr>
                <w:sz w:val="20"/>
                <w:szCs w:val="20"/>
              </w:rPr>
              <w:t>Additional FTE required to manage additional line (no.)</w:t>
            </w:r>
          </w:p>
        </w:tc>
        <w:tc>
          <w:tcPr>
            <w:tcW w:w="992" w:type="dxa"/>
            <w:tcBorders>
              <w:top w:val="single" w:sz="6" w:space="0" w:color="BFBFBF" w:themeColor="background1" w:themeShade="BF"/>
              <w:bottom w:val="single" w:sz="6" w:space="0" w:color="BFBFBF" w:themeColor="background1" w:themeShade="BF"/>
            </w:tcBorders>
          </w:tcPr>
          <w:p w14:paraId="6858C826" w14:textId="77777777" w:rsidR="004961BE" w:rsidRPr="00E00417" w:rsidRDefault="004961BE" w:rsidP="00EA58F4">
            <w:pPr>
              <w:spacing w:before="40" w:after="40" w:line="240" w:lineRule="auto"/>
              <w:ind w:left="34"/>
              <w:rPr>
                <w:i/>
                <w:sz w:val="20"/>
                <w:szCs w:val="20"/>
              </w:rPr>
            </w:pPr>
            <w:r>
              <w:rPr>
                <w:i/>
                <w:sz w:val="20"/>
                <w:szCs w:val="20"/>
              </w:rPr>
              <w:t>FTE</w:t>
            </w:r>
            <w:r>
              <w:rPr>
                <w:i/>
                <w:sz w:val="20"/>
                <w:szCs w:val="20"/>
                <w:vertAlign w:val="subscript"/>
              </w:rPr>
              <w:t>SF</w:t>
            </w:r>
          </w:p>
        </w:tc>
        <w:tc>
          <w:tcPr>
            <w:tcW w:w="8364" w:type="dxa"/>
            <w:tcBorders>
              <w:top w:val="single" w:sz="6" w:space="0" w:color="BFBFBF" w:themeColor="background1" w:themeShade="BF"/>
              <w:bottom w:val="single" w:sz="6" w:space="0" w:color="BFBFBF" w:themeColor="background1" w:themeShade="BF"/>
            </w:tcBorders>
          </w:tcPr>
          <w:p w14:paraId="310348A0" w14:textId="77777777" w:rsidR="004961BE" w:rsidRPr="00E00417" w:rsidRDefault="004961BE" w:rsidP="00EA58F4">
            <w:pPr>
              <w:spacing w:before="40" w:after="40" w:line="240" w:lineRule="auto"/>
              <w:ind w:left="602"/>
              <w:rPr>
                <w:sz w:val="20"/>
                <w:szCs w:val="20"/>
              </w:rPr>
            </w:pPr>
          </w:p>
        </w:tc>
      </w:tr>
      <w:tr w:rsidR="004961BE" w:rsidRPr="00E00417" w14:paraId="463F1E90" w14:textId="77777777" w:rsidTr="00EA58F4">
        <w:tc>
          <w:tcPr>
            <w:tcW w:w="4536" w:type="dxa"/>
            <w:tcBorders>
              <w:top w:val="single" w:sz="6" w:space="0" w:color="BFBFBF" w:themeColor="background1" w:themeShade="BF"/>
              <w:bottom w:val="single" w:sz="6" w:space="0" w:color="BFBFBF" w:themeColor="background1" w:themeShade="BF"/>
            </w:tcBorders>
          </w:tcPr>
          <w:p w14:paraId="0C97BBD0" w14:textId="77777777" w:rsidR="004961BE" w:rsidRPr="00E00417" w:rsidRDefault="004961BE" w:rsidP="00990B17">
            <w:pPr>
              <w:spacing w:before="40" w:after="40" w:line="240" w:lineRule="auto"/>
              <w:ind w:left="171"/>
              <w:jc w:val="left"/>
              <w:rPr>
                <w:sz w:val="20"/>
                <w:szCs w:val="20"/>
              </w:rPr>
            </w:pPr>
            <w:r>
              <w:rPr>
                <w:sz w:val="20"/>
                <w:szCs w:val="20"/>
              </w:rPr>
              <w:t>Annual salary per FTE ($)</w:t>
            </w:r>
          </w:p>
        </w:tc>
        <w:tc>
          <w:tcPr>
            <w:tcW w:w="992" w:type="dxa"/>
            <w:tcBorders>
              <w:top w:val="single" w:sz="6" w:space="0" w:color="BFBFBF" w:themeColor="background1" w:themeShade="BF"/>
              <w:bottom w:val="single" w:sz="6" w:space="0" w:color="BFBFBF" w:themeColor="background1" w:themeShade="BF"/>
            </w:tcBorders>
          </w:tcPr>
          <w:p w14:paraId="340CDE99" w14:textId="77777777" w:rsidR="004961BE" w:rsidRPr="00E00417" w:rsidRDefault="004961BE" w:rsidP="00EA58F4">
            <w:pPr>
              <w:spacing w:before="40" w:after="40" w:line="240" w:lineRule="auto"/>
              <w:ind w:left="34"/>
              <w:rPr>
                <w:i/>
                <w:sz w:val="20"/>
                <w:szCs w:val="20"/>
              </w:rPr>
            </w:pPr>
            <w:r>
              <w:rPr>
                <w:i/>
                <w:sz w:val="20"/>
                <w:szCs w:val="20"/>
              </w:rPr>
              <w:t>CFTE</w:t>
            </w:r>
            <w:r w:rsidRPr="009A06F4">
              <w:rPr>
                <w:i/>
                <w:sz w:val="20"/>
                <w:szCs w:val="20"/>
                <w:vertAlign w:val="subscript"/>
              </w:rPr>
              <w:t>SF</w:t>
            </w:r>
          </w:p>
        </w:tc>
        <w:tc>
          <w:tcPr>
            <w:tcW w:w="8364" w:type="dxa"/>
            <w:tcBorders>
              <w:top w:val="single" w:sz="6" w:space="0" w:color="BFBFBF" w:themeColor="background1" w:themeShade="BF"/>
              <w:bottom w:val="single" w:sz="6" w:space="0" w:color="BFBFBF" w:themeColor="background1" w:themeShade="BF"/>
            </w:tcBorders>
          </w:tcPr>
          <w:p w14:paraId="6CC46AB9" w14:textId="77777777" w:rsidR="004961BE" w:rsidRPr="00E00417" w:rsidRDefault="004961BE" w:rsidP="00EA58F4">
            <w:pPr>
              <w:spacing w:before="40" w:after="40" w:line="240" w:lineRule="auto"/>
              <w:ind w:left="602"/>
              <w:rPr>
                <w:sz w:val="20"/>
                <w:szCs w:val="20"/>
              </w:rPr>
            </w:pPr>
          </w:p>
        </w:tc>
      </w:tr>
      <w:tr w:rsidR="004961BE" w:rsidRPr="00E00417" w14:paraId="73358980" w14:textId="77777777" w:rsidTr="00EA58F4">
        <w:tc>
          <w:tcPr>
            <w:tcW w:w="4536" w:type="dxa"/>
            <w:tcBorders>
              <w:top w:val="single" w:sz="6" w:space="0" w:color="BFBFBF" w:themeColor="background1" w:themeShade="BF"/>
              <w:bottom w:val="single" w:sz="6" w:space="0" w:color="BFBFBF" w:themeColor="background1" w:themeShade="BF"/>
            </w:tcBorders>
          </w:tcPr>
          <w:p w14:paraId="7E844EC1" w14:textId="77777777" w:rsidR="004961BE" w:rsidRPr="00E00417" w:rsidRDefault="004961BE" w:rsidP="00990B17">
            <w:pPr>
              <w:spacing w:before="40" w:after="40" w:line="240" w:lineRule="auto"/>
              <w:ind w:left="171"/>
              <w:jc w:val="left"/>
              <w:rPr>
                <w:sz w:val="20"/>
                <w:szCs w:val="20"/>
              </w:rPr>
            </w:pPr>
            <w:r>
              <w:rPr>
                <w:sz w:val="20"/>
                <w:szCs w:val="20"/>
              </w:rPr>
              <w:t>Cost of storage silo ($)</w:t>
            </w:r>
          </w:p>
        </w:tc>
        <w:tc>
          <w:tcPr>
            <w:tcW w:w="992" w:type="dxa"/>
            <w:tcBorders>
              <w:top w:val="single" w:sz="6" w:space="0" w:color="BFBFBF" w:themeColor="background1" w:themeShade="BF"/>
              <w:bottom w:val="single" w:sz="6" w:space="0" w:color="BFBFBF" w:themeColor="background1" w:themeShade="BF"/>
            </w:tcBorders>
          </w:tcPr>
          <w:p w14:paraId="34CE3727" w14:textId="77777777" w:rsidR="004961BE" w:rsidRPr="00E00417" w:rsidRDefault="004961BE" w:rsidP="00EA58F4">
            <w:pPr>
              <w:spacing w:before="40" w:after="40" w:line="240" w:lineRule="auto"/>
              <w:ind w:left="34"/>
              <w:rPr>
                <w:i/>
                <w:sz w:val="20"/>
                <w:szCs w:val="20"/>
              </w:rPr>
            </w:pPr>
            <w:r>
              <w:rPr>
                <w:i/>
                <w:sz w:val="20"/>
                <w:szCs w:val="20"/>
              </w:rPr>
              <w:t>CS</w:t>
            </w:r>
          </w:p>
        </w:tc>
        <w:tc>
          <w:tcPr>
            <w:tcW w:w="8364" w:type="dxa"/>
            <w:tcBorders>
              <w:top w:val="single" w:sz="6" w:space="0" w:color="BFBFBF" w:themeColor="background1" w:themeShade="BF"/>
              <w:bottom w:val="single" w:sz="6" w:space="0" w:color="BFBFBF" w:themeColor="background1" w:themeShade="BF"/>
            </w:tcBorders>
          </w:tcPr>
          <w:p w14:paraId="6626A284" w14:textId="77777777" w:rsidR="004961BE" w:rsidRPr="00E00417" w:rsidRDefault="004961BE" w:rsidP="00EA58F4">
            <w:pPr>
              <w:spacing w:before="40" w:after="40" w:line="240" w:lineRule="auto"/>
              <w:ind w:left="602"/>
              <w:rPr>
                <w:sz w:val="20"/>
                <w:szCs w:val="20"/>
              </w:rPr>
            </w:pPr>
          </w:p>
        </w:tc>
      </w:tr>
      <w:tr w:rsidR="004961BE" w:rsidRPr="00E00417" w14:paraId="45ED6AD8" w14:textId="77777777" w:rsidTr="00EA58F4">
        <w:tc>
          <w:tcPr>
            <w:tcW w:w="4536" w:type="dxa"/>
            <w:tcBorders>
              <w:top w:val="single" w:sz="6" w:space="0" w:color="BFBFBF" w:themeColor="background1" w:themeShade="BF"/>
              <w:bottom w:val="single" w:sz="4" w:space="0" w:color="auto"/>
            </w:tcBorders>
          </w:tcPr>
          <w:p w14:paraId="67E8F4C0" w14:textId="77777777" w:rsidR="004961BE" w:rsidRDefault="004961BE" w:rsidP="00EA58F4">
            <w:pPr>
              <w:spacing w:before="40" w:after="40" w:line="240" w:lineRule="auto"/>
              <w:jc w:val="left"/>
              <w:rPr>
                <w:sz w:val="20"/>
                <w:szCs w:val="20"/>
              </w:rPr>
            </w:pPr>
            <w:r>
              <w:rPr>
                <w:sz w:val="20"/>
                <w:szCs w:val="20"/>
              </w:rPr>
              <w:t>Total cost of installing dedicated feed lines ($)</w:t>
            </w:r>
          </w:p>
        </w:tc>
        <w:tc>
          <w:tcPr>
            <w:tcW w:w="992" w:type="dxa"/>
            <w:tcBorders>
              <w:top w:val="single" w:sz="6" w:space="0" w:color="BFBFBF" w:themeColor="background1" w:themeShade="BF"/>
              <w:bottom w:val="single" w:sz="4" w:space="0" w:color="auto"/>
            </w:tcBorders>
          </w:tcPr>
          <w:p w14:paraId="6F025053" w14:textId="77777777" w:rsidR="004961BE" w:rsidRDefault="004961BE" w:rsidP="00EA58F4">
            <w:pPr>
              <w:spacing w:before="40" w:after="40" w:line="240" w:lineRule="auto"/>
              <w:ind w:left="34"/>
              <w:rPr>
                <w:i/>
                <w:sz w:val="20"/>
                <w:szCs w:val="20"/>
              </w:rPr>
            </w:pPr>
            <w:r>
              <w:rPr>
                <w:i/>
                <w:sz w:val="20"/>
                <w:szCs w:val="20"/>
              </w:rPr>
              <w:t>CPL</w:t>
            </w:r>
          </w:p>
        </w:tc>
        <w:tc>
          <w:tcPr>
            <w:tcW w:w="8364" w:type="dxa"/>
            <w:tcBorders>
              <w:top w:val="single" w:sz="6" w:space="0" w:color="BFBFBF" w:themeColor="background1" w:themeShade="BF"/>
              <w:bottom w:val="single" w:sz="4" w:space="0" w:color="auto"/>
            </w:tcBorders>
          </w:tcPr>
          <w:p w14:paraId="46D0738B" w14:textId="77777777" w:rsidR="004961BE" w:rsidRPr="0032307F" w:rsidRDefault="004961BE" w:rsidP="00EA58F4">
            <w:pPr>
              <w:spacing w:before="40" w:after="40" w:line="240" w:lineRule="auto"/>
              <w:ind w:left="602"/>
              <w:rPr>
                <w:sz w:val="20"/>
                <w:szCs w:val="20"/>
              </w:rPr>
            </w:pPr>
            <m:oMathPara>
              <m:oMathParaPr>
                <m:jc m:val="left"/>
              </m:oMathParaPr>
              <m:oMath>
                <m:r>
                  <w:rPr>
                    <w:rFonts w:ascii="Cambria Math" w:hAnsi="Cambria Math"/>
                    <w:sz w:val="20"/>
                    <w:szCs w:val="20"/>
                  </w:rPr>
                  <m:t>CPL=(NM×prop)</m:t>
                </m:r>
                <m:d>
                  <m:dPr>
                    <m:begChr m:val="["/>
                    <m:endChr m:val="]"/>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CU</m:t>
                        </m:r>
                      </m:e>
                      <m:sub>
                        <m:r>
                          <w:rPr>
                            <w:rFonts w:ascii="Cambria Math" w:hAnsi="Cambria Math"/>
                            <w:sz w:val="20"/>
                            <w:szCs w:val="20"/>
                          </w:rPr>
                          <m:t>PL</m:t>
                        </m:r>
                      </m:sub>
                    </m:sSub>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FTE</m:t>
                            </m:r>
                          </m:e>
                          <m:sub>
                            <m:r>
                              <w:rPr>
                                <w:rFonts w:ascii="Cambria Math" w:hAnsi="Cambria Math"/>
                                <w:sz w:val="20"/>
                                <w:szCs w:val="20"/>
                              </w:rPr>
                              <m:t>SF</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CFTE</m:t>
                            </m:r>
                          </m:e>
                          <m:sub>
                            <m:r>
                              <w:rPr>
                                <w:rFonts w:ascii="Cambria Math" w:hAnsi="Cambria Math"/>
                                <w:sz w:val="20"/>
                                <w:szCs w:val="20"/>
                              </w:rPr>
                              <m:t>SF</m:t>
                            </m:r>
                          </m:sub>
                        </m:sSub>
                      </m:e>
                    </m:d>
                  </m:e>
                </m:d>
              </m:oMath>
            </m:oMathPara>
          </w:p>
        </w:tc>
      </w:tr>
    </w:tbl>
    <w:p w14:paraId="5F7C11DE" w14:textId="2ED80479" w:rsidR="00476895" w:rsidRDefault="00476895" w:rsidP="004163CC"/>
    <w:p w14:paraId="30306AED" w14:textId="77777777" w:rsidR="00476895" w:rsidRDefault="00476895">
      <w:pPr>
        <w:spacing w:before="0" w:after="0" w:line="240" w:lineRule="auto"/>
        <w:jc w:val="left"/>
      </w:pPr>
      <w:r>
        <w:br w:type="page"/>
      </w:r>
    </w:p>
    <w:p w14:paraId="5ED5101D" w14:textId="77777777" w:rsidR="004961BE" w:rsidRDefault="004961BE" w:rsidP="004163CC"/>
    <w:sectPr w:rsidR="004961BE" w:rsidSect="0052738D">
      <w:pgSz w:w="16838" w:h="11906" w:orient="landscape"/>
      <w:pgMar w:top="1800" w:right="1440" w:bottom="180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B9E88" w14:textId="77777777" w:rsidR="009B5BAB" w:rsidRDefault="009B5BAB" w:rsidP="0086758A">
      <w:r>
        <w:separator/>
      </w:r>
    </w:p>
  </w:endnote>
  <w:endnote w:type="continuationSeparator" w:id="0">
    <w:p w14:paraId="03BBDC88" w14:textId="77777777" w:rsidR="009B5BAB" w:rsidRDefault="009B5BAB" w:rsidP="0086758A">
      <w:r>
        <w:continuationSeparator/>
      </w:r>
    </w:p>
  </w:endnote>
  <w:endnote w:type="continuationNotice" w:id="1">
    <w:p w14:paraId="23616C6A" w14:textId="77777777" w:rsidR="009B5BAB" w:rsidRDefault="009B5BA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D2858" w14:textId="10CCBFEF" w:rsidR="00EA58F4" w:rsidRDefault="00EA58F4">
    <w:pPr>
      <w:pStyle w:val="Footer"/>
    </w:pPr>
    <w:r>
      <w:rPr>
        <w:noProof/>
      </w:rPr>
      <mc:AlternateContent>
        <mc:Choice Requires="wps">
          <w:drawing>
            <wp:anchor distT="0" distB="0" distL="0" distR="0" simplePos="0" relativeHeight="251658240" behindDoc="0" locked="0" layoutInCell="1" allowOverlap="1" wp14:anchorId="19EBEF9F" wp14:editId="4AEED81A">
              <wp:simplePos x="635" y="635"/>
              <wp:positionH relativeFrom="page">
                <wp:align>center</wp:align>
              </wp:positionH>
              <wp:positionV relativeFrom="page">
                <wp:align>bottom</wp:align>
              </wp:positionV>
              <wp:extent cx="748030" cy="480695"/>
              <wp:effectExtent l="0" t="0" r="13970" b="0"/>
              <wp:wrapNone/>
              <wp:docPr id="2036410884" name="Text Box 8"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480695"/>
                      </a:xfrm>
                      <a:prstGeom prst="rect">
                        <a:avLst/>
                      </a:prstGeom>
                      <a:noFill/>
                      <a:ln>
                        <a:noFill/>
                      </a:ln>
                    </wps:spPr>
                    <wps:txbx>
                      <w:txbxContent>
                        <w:p w14:paraId="530AAE9C" w14:textId="5BD98185" w:rsidR="00EA58F4" w:rsidRPr="00EF5242" w:rsidRDefault="00EA58F4" w:rsidP="00EF5242">
                          <w:pPr>
                            <w:spacing w:after="0"/>
                            <w:rPr>
                              <w:rFonts w:ascii="Calibri" w:eastAsia="Calibri" w:hAnsi="Calibri" w:cs="Calibri"/>
                              <w:noProof/>
                              <w:color w:val="FF0000"/>
                            </w:rPr>
                          </w:pPr>
                          <w:r w:rsidRPr="00EF5242">
                            <w:rPr>
                              <w:rFonts w:ascii="Calibri" w:eastAsia="Calibri" w:hAnsi="Calibri" w:cs="Calibri"/>
                              <w:noProof/>
                              <w:color w:val="FF000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EBEF9F" id="_x0000_t202" coordsize="21600,21600" o:spt="202" path="m,l,21600r21600,l21600,xe">
              <v:stroke joinstyle="miter"/>
              <v:path gradientshapeok="t" o:connecttype="rect"/>
            </v:shapetype>
            <v:shape id="Text Box 8" o:spid="_x0000_s1032" type="#_x0000_t202" alt="UNOFFICIAL" style="position:absolute;left:0;text-align:left;margin-left:0;margin-top:0;width:58.9pt;height:37.8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" filled="f" stroked="f">
              <v:textbox style="mso-fit-shape-to-text:t" inset="0,0,0,15pt">
                <w:txbxContent>
                  <w:p w14:paraId="530AAE9C" w14:textId="5BD98185" w:rsidR="00EA58F4" w:rsidRPr="00EF5242" w:rsidRDefault="00EA58F4" w:rsidP="00EF5242">
                    <w:pPr>
                      <w:spacing w:after="0"/>
                      <w:rPr>
                        <w:rFonts w:ascii="Calibri" w:eastAsia="Calibri" w:hAnsi="Calibri" w:cs="Calibri"/>
                        <w:noProof/>
                        <w:color w:val="FF0000"/>
                      </w:rPr>
                    </w:pPr>
                    <w:r w:rsidRPr="00EF5242">
                      <w:rPr>
                        <w:rFonts w:ascii="Calibri" w:eastAsia="Calibri" w:hAnsi="Calibri" w:cs="Calibri"/>
                        <w:noProof/>
                        <w:color w:val="FF000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AD8DC" w14:textId="38509F55" w:rsidR="00EA58F4" w:rsidRDefault="00EA58F4" w:rsidP="00984CE5">
    <w:pPr>
      <w:pStyle w:val="Footer"/>
      <w:tabs>
        <w:tab w:val="clear" w:pos="4513"/>
        <w:tab w:val="clear" w:pos="9026"/>
        <w:tab w:val="right" w:pos="13892"/>
      </w:tabs>
      <w:rPr>
        <w:u w:val="single"/>
        <w:lang w:val="en-US"/>
      </w:rPr>
    </w:pPr>
    <w:r>
      <w:rPr>
        <w:u w:val="single"/>
        <w:lang w:val="en-US"/>
      </w:rPr>
      <w:tab/>
    </w:r>
  </w:p>
  <w:p w14:paraId="5B2E292A" w14:textId="77777777" w:rsidR="00EA58F4" w:rsidRDefault="00EA58F4" w:rsidP="00C24C13">
    <w:pPr>
      <w:pStyle w:val="Footer"/>
      <w:tabs>
        <w:tab w:val="right" w:pos="9360"/>
      </w:tabs>
      <w:jc w:val="center"/>
      <w:rPr>
        <w:rFonts w:ascii="Arial" w:hAnsi="Arial" w:cs="Arial"/>
        <w:sz w:val="18"/>
        <w:szCs w:val="18"/>
        <w:lang w:val="en-US"/>
      </w:rPr>
    </w:pPr>
  </w:p>
  <w:p w14:paraId="14EE27C5" w14:textId="77777777" w:rsidR="00EA58F4" w:rsidRDefault="00EA58F4" w:rsidP="00C24C13">
    <w:pPr>
      <w:pStyle w:val="Footer"/>
      <w:tabs>
        <w:tab w:val="clear" w:pos="4513"/>
        <w:tab w:val="right" w:pos="8364"/>
      </w:tabs>
    </w:pPr>
    <w:r w:rsidRPr="50785987">
      <w:rPr>
        <w:rFonts w:ascii="Arial" w:eastAsia="Arial" w:hAnsi="Arial" w:cs="Arial"/>
        <w:sz w:val="16"/>
        <w:szCs w:val="16"/>
        <w:lang w:val="en-US"/>
      </w:rPr>
      <w:t>Centre of Excellence for Biosecurity Risk Analysis</w:t>
    </w:r>
    <w:r>
      <w:rPr>
        <w:rFonts w:ascii="Arial" w:hAnsi="Arial" w:cs="Arial"/>
        <w:sz w:val="16"/>
        <w:szCs w:val="16"/>
        <w:lang w:val="en-US"/>
      </w:rPr>
      <w:tab/>
    </w:r>
    <w:r w:rsidRPr="50785987">
      <w:rPr>
        <w:rFonts w:ascii="Arial" w:eastAsia="Arial" w:hAnsi="Arial" w:cs="Arial"/>
        <w:sz w:val="16"/>
        <w:szCs w:val="16"/>
        <w:lang w:val="en-US"/>
      </w:rPr>
      <w:t xml:space="preserve">Page </w:t>
    </w:r>
    <w:r w:rsidRPr="50785987">
      <w:rPr>
        <w:rStyle w:val="PageNumber"/>
        <w:rFonts w:ascii="Arial" w:eastAsia="Arial" w:hAnsi="Arial" w:cs="Arial"/>
        <w:noProof/>
        <w:sz w:val="16"/>
        <w:szCs w:val="16"/>
      </w:rPr>
      <w:fldChar w:fldCharType="begin"/>
    </w:r>
    <w:r>
      <w:rPr>
        <w:rStyle w:val="PageNumber"/>
        <w:rFonts w:ascii="Arial" w:hAnsi="Arial" w:cs="Arial"/>
        <w:sz w:val="16"/>
        <w:szCs w:val="16"/>
      </w:rPr>
      <w:instrText xml:space="preserve"> PAGE </w:instrText>
    </w:r>
    <w:r w:rsidRPr="50785987">
      <w:rPr>
        <w:rStyle w:val="PageNumber"/>
        <w:rFonts w:ascii="Arial" w:hAnsi="Arial" w:cs="Arial"/>
        <w:sz w:val="16"/>
        <w:szCs w:val="16"/>
      </w:rPr>
      <w:fldChar w:fldCharType="separate"/>
    </w:r>
    <w:r>
      <w:rPr>
        <w:rStyle w:val="PageNumber"/>
        <w:rFonts w:ascii="Arial" w:hAnsi="Arial" w:cs="Arial"/>
        <w:noProof/>
        <w:sz w:val="16"/>
        <w:szCs w:val="16"/>
      </w:rPr>
      <w:t>2</w:t>
    </w:r>
    <w:r w:rsidRPr="50785987">
      <w:rPr>
        <w:rStyle w:val="PageNumber"/>
        <w:rFonts w:ascii="Arial" w:eastAsia="Arial" w:hAnsi="Arial" w:cs="Arial"/>
        <w:noProof/>
        <w:sz w:val="16"/>
        <w:szCs w:val="16"/>
      </w:rPr>
      <w:fldChar w:fldCharType="end"/>
    </w:r>
    <w:r w:rsidRPr="50785987">
      <w:rPr>
        <w:rStyle w:val="PageNumber"/>
        <w:rFonts w:ascii="Arial" w:eastAsia="Arial" w:hAnsi="Arial" w:cs="Arial"/>
        <w:sz w:val="16"/>
        <w:szCs w:val="16"/>
      </w:rPr>
      <w:t xml:space="preserve"> of </w:t>
    </w:r>
    <w:r w:rsidRPr="50785987">
      <w:rPr>
        <w:rStyle w:val="PageNumber"/>
        <w:rFonts w:ascii="Arial" w:eastAsia="Arial" w:hAnsi="Arial" w:cs="Arial"/>
        <w:noProof/>
        <w:sz w:val="16"/>
        <w:szCs w:val="16"/>
      </w:rPr>
      <w:fldChar w:fldCharType="begin"/>
    </w:r>
    <w:r>
      <w:rPr>
        <w:rStyle w:val="PageNumber"/>
        <w:rFonts w:ascii="Arial" w:hAnsi="Arial" w:cs="Arial"/>
        <w:sz w:val="16"/>
        <w:szCs w:val="16"/>
      </w:rPr>
      <w:instrText xml:space="preserve"> NUMPAGES </w:instrText>
    </w:r>
    <w:r w:rsidRPr="50785987">
      <w:rPr>
        <w:rStyle w:val="PageNumber"/>
        <w:rFonts w:ascii="Arial" w:hAnsi="Arial" w:cs="Arial"/>
        <w:sz w:val="16"/>
        <w:szCs w:val="16"/>
      </w:rPr>
      <w:fldChar w:fldCharType="separate"/>
    </w:r>
    <w:r>
      <w:rPr>
        <w:rStyle w:val="PageNumber"/>
        <w:rFonts w:ascii="Arial" w:hAnsi="Arial" w:cs="Arial"/>
        <w:noProof/>
        <w:sz w:val="16"/>
        <w:szCs w:val="16"/>
      </w:rPr>
      <w:t>96</w:t>
    </w:r>
    <w:r w:rsidRPr="50785987">
      <w:rPr>
        <w:rStyle w:val="PageNumber"/>
        <w:rFonts w:ascii="Arial" w:eastAsia="Arial" w:hAnsi="Arial" w:cs="Arial"/>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E5D49" w14:textId="2D8A5A35" w:rsidR="00EA58F4" w:rsidRDefault="00EA58F4">
    <w:pPr>
      <w:pStyle w:val="Footer"/>
    </w:pPr>
    <w:r>
      <w:rPr>
        <w:noProof/>
      </w:rPr>
      <mc:AlternateContent>
        <mc:Choice Requires="wps">
          <w:drawing>
            <wp:anchor distT="0" distB="0" distL="0" distR="0" simplePos="0" relativeHeight="251662336" behindDoc="0" locked="0" layoutInCell="1" allowOverlap="1" wp14:anchorId="2FB36771" wp14:editId="30A10410">
              <wp:simplePos x="635" y="635"/>
              <wp:positionH relativeFrom="page">
                <wp:align>center</wp:align>
              </wp:positionH>
              <wp:positionV relativeFrom="page">
                <wp:align>bottom</wp:align>
              </wp:positionV>
              <wp:extent cx="748030" cy="480695"/>
              <wp:effectExtent l="0" t="0" r="13970" b="0"/>
              <wp:wrapNone/>
              <wp:docPr id="530257449" name="Text Box 11"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480695"/>
                      </a:xfrm>
                      <a:prstGeom prst="rect">
                        <a:avLst/>
                      </a:prstGeom>
                      <a:noFill/>
                      <a:ln>
                        <a:noFill/>
                      </a:ln>
                    </wps:spPr>
                    <wps:txbx>
                      <w:txbxContent>
                        <w:p w14:paraId="000AE279" w14:textId="3C9EF5A7" w:rsidR="00EA58F4" w:rsidRPr="00EF5242" w:rsidRDefault="00EA58F4" w:rsidP="00EF5242">
                          <w:pPr>
                            <w:spacing w:after="0"/>
                            <w:rPr>
                              <w:rFonts w:ascii="Calibri" w:eastAsia="Calibri" w:hAnsi="Calibri" w:cs="Calibri"/>
                              <w:noProof/>
                              <w:color w:val="FF0000"/>
                            </w:rPr>
                          </w:pPr>
                          <w:r w:rsidRPr="00EF5242">
                            <w:rPr>
                              <w:rFonts w:ascii="Calibri" w:eastAsia="Calibri" w:hAnsi="Calibri" w:cs="Calibri"/>
                              <w:noProof/>
                              <w:color w:val="FF000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B36771" id="_x0000_t202" coordsize="21600,21600" o:spt="202" path="m,l,21600r21600,l21600,xe">
              <v:stroke joinstyle="miter"/>
              <v:path gradientshapeok="t" o:connecttype="rect"/>
            </v:shapetype>
            <v:shape id="Text Box 11" o:spid="_x0000_s1034" type="#_x0000_t202" alt="UNOFFICIAL" style="position:absolute;left:0;text-align:left;margin-left:0;margin-top:0;width:58.9pt;height:37.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" filled="f" stroked="f">
              <v:textbox style="mso-fit-shape-to-text:t" inset="0,0,0,15pt">
                <w:txbxContent>
                  <w:p w14:paraId="000AE279" w14:textId="3C9EF5A7" w:rsidR="00EA58F4" w:rsidRPr="00EF5242" w:rsidRDefault="00EA58F4" w:rsidP="00EF5242">
                    <w:pPr>
                      <w:spacing w:after="0"/>
                      <w:rPr>
                        <w:rFonts w:ascii="Calibri" w:eastAsia="Calibri" w:hAnsi="Calibri" w:cs="Calibri"/>
                        <w:noProof/>
                        <w:color w:val="FF0000"/>
                      </w:rPr>
                    </w:pPr>
                    <w:r w:rsidRPr="00EF5242">
                      <w:rPr>
                        <w:rFonts w:ascii="Calibri" w:eastAsia="Calibri" w:hAnsi="Calibri" w:cs="Calibri"/>
                        <w:noProof/>
                        <w:color w:val="FF0000"/>
                      </w:rPr>
                      <w:t>UNOFFICIAL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813DB" w14:textId="38D3D0DE" w:rsidR="00EA58F4" w:rsidRDefault="00EA58F4">
    <w:pPr>
      <w:pStyle w:val="Footer"/>
    </w:pPr>
    <w:r>
      <w:rPr>
        <w:noProof/>
      </w:rPr>
      <mc:AlternateContent>
        <mc:Choice Requires="wps">
          <w:drawing>
            <wp:anchor distT="0" distB="0" distL="0" distR="0" simplePos="0" relativeHeight="251660288" behindDoc="0" locked="0" layoutInCell="1" allowOverlap="1" wp14:anchorId="3100AB31" wp14:editId="314DA964">
              <wp:simplePos x="635" y="635"/>
              <wp:positionH relativeFrom="page">
                <wp:align>center</wp:align>
              </wp:positionH>
              <wp:positionV relativeFrom="page">
                <wp:align>bottom</wp:align>
              </wp:positionV>
              <wp:extent cx="748030" cy="480695"/>
              <wp:effectExtent l="0" t="0" r="13970" b="0"/>
              <wp:wrapNone/>
              <wp:docPr id="1293183891" name="Text Box 10"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480695"/>
                      </a:xfrm>
                      <a:prstGeom prst="rect">
                        <a:avLst/>
                      </a:prstGeom>
                      <a:noFill/>
                      <a:ln>
                        <a:noFill/>
                      </a:ln>
                    </wps:spPr>
                    <wps:txbx>
                      <w:txbxContent>
                        <w:p w14:paraId="6F6B831F" w14:textId="0A922098" w:rsidR="00EA58F4" w:rsidRPr="00EF5242" w:rsidRDefault="00EA58F4" w:rsidP="00EF5242">
                          <w:pPr>
                            <w:spacing w:after="0"/>
                            <w:rPr>
                              <w:rFonts w:ascii="Calibri" w:eastAsia="Calibri" w:hAnsi="Calibri" w:cs="Calibri"/>
                              <w:noProof/>
                              <w:color w:val="FF0000"/>
                            </w:rPr>
                          </w:pPr>
                          <w:r w:rsidRPr="00EF5242">
                            <w:rPr>
                              <w:rFonts w:ascii="Calibri" w:eastAsia="Calibri" w:hAnsi="Calibri" w:cs="Calibri"/>
                              <w:noProof/>
                              <w:color w:val="FF000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00AB31" id="_x0000_t202" coordsize="21600,21600" o:spt="202" path="m,l,21600r21600,l21600,xe">
              <v:stroke joinstyle="miter"/>
              <v:path gradientshapeok="t" o:connecttype="rect"/>
            </v:shapetype>
            <v:shape id="Text Box 10" o:spid="_x0000_s1036" type="#_x0000_t202" alt="UNOFFICIAL" style="position:absolute;left:0;text-align:left;margin-left:0;margin-top:0;width:58.9pt;height:37.8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" filled="f" stroked="f">
              <v:textbox style="mso-fit-shape-to-text:t" inset="0,0,0,15pt">
                <w:txbxContent>
                  <w:p w14:paraId="6F6B831F" w14:textId="0A922098" w:rsidR="00EA58F4" w:rsidRPr="00EF5242" w:rsidRDefault="00EA58F4" w:rsidP="00EF5242">
                    <w:pPr>
                      <w:spacing w:after="0"/>
                      <w:rPr>
                        <w:rFonts w:ascii="Calibri" w:eastAsia="Calibri" w:hAnsi="Calibri" w:cs="Calibri"/>
                        <w:noProof/>
                        <w:color w:val="FF0000"/>
                      </w:rPr>
                    </w:pPr>
                    <w:r w:rsidRPr="00EF5242">
                      <w:rPr>
                        <w:rFonts w:ascii="Calibri" w:eastAsia="Calibri" w:hAnsi="Calibri" w:cs="Calibri"/>
                        <w:noProof/>
                        <w:color w:val="FF0000"/>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B027A" w14:textId="77777777" w:rsidR="009B5BAB" w:rsidRDefault="009B5BAB" w:rsidP="0086758A">
      <w:r>
        <w:separator/>
      </w:r>
    </w:p>
  </w:footnote>
  <w:footnote w:type="continuationSeparator" w:id="0">
    <w:p w14:paraId="5853EC15" w14:textId="77777777" w:rsidR="009B5BAB" w:rsidRDefault="009B5BAB" w:rsidP="0086758A">
      <w:r>
        <w:continuationSeparator/>
      </w:r>
    </w:p>
  </w:footnote>
  <w:footnote w:type="continuationNotice" w:id="1">
    <w:p w14:paraId="3619178A" w14:textId="77777777" w:rsidR="009B5BAB" w:rsidRDefault="009B5BAB">
      <w:pPr>
        <w:spacing w:before="0" w:after="0" w:line="240" w:lineRule="auto"/>
      </w:pPr>
    </w:p>
  </w:footnote>
  <w:footnote w:id="2">
    <w:p w14:paraId="495A4441" w14:textId="27822B47" w:rsidR="00EA58F4" w:rsidRDefault="00EA58F4">
      <w:pPr>
        <w:pStyle w:val="FootnoteText"/>
      </w:pPr>
      <w:r>
        <w:rPr>
          <w:rStyle w:val="FootnoteReference"/>
        </w:rPr>
        <w:footnoteRef/>
      </w:r>
      <w:r>
        <w:t xml:space="preserve"> </w:t>
      </w:r>
      <w:r w:rsidRPr="005B16A7">
        <w:rPr>
          <w:sz w:val="20"/>
          <w:szCs w:val="20"/>
        </w:rPr>
        <w:t>University of Melbourne</w:t>
      </w:r>
      <w:r>
        <w:t xml:space="preserve"> </w:t>
      </w:r>
      <w:r w:rsidRPr="009B4FA8">
        <w:rPr>
          <w:sz w:val="20"/>
          <w:szCs w:val="20"/>
        </w:rPr>
        <w:t xml:space="preserve">Human Ethics </w:t>
      </w:r>
      <w:r w:rsidRPr="003A67ED">
        <w:rPr>
          <w:sz w:val="20"/>
          <w:szCs w:val="20"/>
        </w:rPr>
        <w:t>ID: 2024-28567-49801-3</w:t>
      </w:r>
    </w:p>
  </w:footnote>
  <w:footnote w:id="3">
    <w:p w14:paraId="1D4CDEBD" w14:textId="00D07448" w:rsidR="00EA58F4" w:rsidRDefault="00EA58F4" w:rsidP="00D052DD">
      <w:pPr>
        <w:pStyle w:val="FootnoteText"/>
        <w:spacing w:line="240" w:lineRule="auto"/>
      </w:pPr>
      <w:r>
        <w:rPr>
          <w:rStyle w:val="FootnoteReference"/>
        </w:rPr>
        <w:footnoteRef/>
      </w:r>
      <w:r>
        <w:t xml:space="preserve"> </w:t>
      </w:r>
      <w:r w:rsidRPr="006278B2">
        <w:rPr>
          <w:sz w:val="20"/>
          <w:szCs w:val="20"/>
        </w:rPr>
        <w:t xml:space="preserve">SRM </w:t>
      </w:r>
      <w:r>
        <w:rPr>
          <w:sz w:val="20"/>
          <w:szCs w:val="20"/>
        </w:rPr>
        <w:t>is considered d</w:t>
      </w:r>
      <w:r w:rsidRPr="00E66C87">
        <w:rPr>
          <w:sz w:val="20"/>
          <w:szCs w:val="20"/>
        </w:rPr>
        <w:t>istal ileum from cattle of any age; skull, brain, eyes, vertebral column and spinal cord from cattle that were at the time of slaughter over 30 months of 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DE4B4" w14:textId="46DDA91E" w:rsidR="00EA58F4" w:rsidRDefault="00EA58F4">
    <w:pPr>
      <w:pStyle w:val="Header"/>
    </w:pPr>
    <w:r>
      <w:rPr>
        <w:noProof/>
      </w:rPr>
      <mc:AlternateContent>
        <mc:Choice Requires="wps">
          <w:drawing>
            <wp:anchor distT="0" distB="0" distL="0" distR="0" simplePos="0" relativeHeight="251657216" behindDoc="0" locked="0" layoutInCell="1" allowOverlap="1" wp14:anchorId="40ADB246" wp14:editId="2488527E">
              <wp:simplePos x="635" y="635"/>
              <wp:positionH relativeFrom="page">
                <wp:align>center</wp:align>
              </wp:positionH>
              <wp:positionV relativeFrom="page">
                <wp:align>top</wp:align>
              </wp:positionV>
              <wp:extent cx="748030" cy="480695"/>
              <wp:effectExtent l="0" t="0" r="13970" b="14605"/>
              <wp:wrapNone/>
              <wp:docPr id="169890158"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480695"/>
                      </a:xfrm>
                      <a:prstGeom prst="rect">
                        <a:avLst/>
                      </a:prstGeom>
                      <a:noFill/>
                      <a:ln>
                        <a:noFill/>
                      </a:ln>
                    </wps:spPr>
                    <wps:txbx>
                      <w:txbxContent>
                        <w:p w14:paraId="1BF8A945" w14:textId="2D82898B" w:rsidR="00EA58F4" w:rsidRPr="00EF5242" w:rsidRDefault="00EA58F4" w:rsidP="00EF5242">
                          <w:pPr>
                            <w:spacing w:after="0"/>
                            <w:rPr>
                              <w:rFonts w:ascii="Calibri" w:eastAsia="Calibri" w:hAnsi="Calibri" w:cs="Calibri"/>
                              <w:noProof/>
                              <w:color w:val="FF0000"/>
                            </w:rPr>
                          </w:pPr>
                          <w:r w:rsidRPr="00EF5242">
                            <w:rPr>
                              <w:rFonts w:ascii="Calibri" w:eastAsia="Calibri" w:hAnsi="Calibri" w:cs="Calibri"/>
                              <w:noProof/>
                              <w:color w:val="FF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ADB246" id="_x0000_t202" coordsize="21600,21600" o:spt="202" path="m,l,21600r21600,l21600,xe">
              <v:stroke joinstyle="miter"/>
              <v:path gradientshapeok="t" o:connecttype="rect"/>
            </v:shapetype>
            <v:shape id="_x0000_s1031" type="#_x0000_t202" alt="UNOFFICIAL" style="position:absolute;left:0;text-align:left;margin-left:0;margin-top:0;width:58.9pt;height:37.8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" filled="f" stroked="f">
              <v:textbox style="mso-fit-shape-to-text:t" inset="0,15pt,0,0">
                <w:txbxContent>
                  <w:p w14:paraId="1BF8A945" w14:textId="2D82898B" w:rsidR="00EA58F4" w:rsidRPr="00EF5242" w:rsidRDefault="00EA58F4" w:rsidP="00EF5242">
                    <w:pPr>
                      <w:spacing w:after="0"/>
                      <w:rPr>
                        <w:rFonts w:ascii="Calibri" w:eastAsia="Calibri" w:hAnsi="Calibri" w:cs="Calibri"/>
                        <w:noProof/>
                        <w:color w:val="FF0000"/>
                      </w:rPr>
                    </w:pPr>
                    <w:r w:rsidRPr="00EF5242">
                      <w:rPr>
                        <w:rFonts w:ascii="Calibri" w:eastAsia="Calibri" w:hAnsi="Calibri" w:cs="Calibri"/>
                        <w:noProof/>
                        <w:color w:val="FF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6E128" w14:textId="1DF3F4C2" w:rsidR="00EA58F4" w:rsidRPr="00C56C1D" w:rsidRDefault="00EA58F4" w:rsidP="71AE851B">
    <w:pPr>
      <w:pStyle w:val="Header"/>
      <w:tabs>
        <w:tab w:val="clear" w:pos="4513"/>
        <w:tab w:val="clear" w:pos="9026"/>
        <w:tab w:val="right" w:pos="8364"/>
      </w:tabs>
      <w:spacing w:after="0"/>
      <w:ind w:right="-58"/>
      <w:rPr>
        <w:rFonts w:ascii="Arial" w:eastAsia="Arial" w:hAnsi="Arial" w:cs="Arial"/>
        <w:sz w:val="16"/>
        <w:szCs w:val="16"/>
      </w:rPr>
    </w:pPr>
    <w:r>
      <w:rPr>
        <w:rFonts w:ascii="Arial" w:eastAsia="Arial" w:hAnsi="Arial" w:cs="Arial"/>
        <w:sz w:val="16"/>
        <w:szCs w:val="16"/>
      </w:rPr>
      <w:t>Return on Investment in International Standard Setting</w:t>
    </w:r>
  </w:p>
  <w:p w14:paraId="35F87C1F" w14:textId="77777777" w:rsidR="00EA58F4" w:rsidRDefault="00EA58F4" w:rsidP="008C5198">
    <w:pPr>
      <w:pStyle w:val="Header"/>
      <w:tabs>
        <w:tab w:val="clear" w:pos="4513"/>
        <w:tab w:val="clear" w:pos="9026"/>
        <w:tab w:val="right" w:pos="8364"/>
      </w:tabs>
      <w:spacing w:before="0" w:after="0"/>
      <w:ind w:right="-57" w:hanging="1797"/>
    </w:pPr>
    <w:r>
      <w:rPr>
        <w:i/>
      </w:rPr>
      <w:tab/>
    </w:r>
    <w:r w:rsidRPr="008B3A7C">
      <w:rPr>
        <w:i/>
        <w:u w:val="singl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3EE7C" w14:textId="0803E200" w:rsidR="00EA58F4" w:rsidRDefault="00EA58F4" w:rsidP="001700A4">
    <w:pPr>
      <w:pStyle w:val="Header"/>
      <w:tabs>
        <w:tab w:val="clear" w:pos="4513"/>
        <w:tab w:val="clear" w:pos="9026"/>
        <w:tab w:val="right" w:pos="8364"/>
      </w:tabs>
      <w:spacing w:before="0" w:after="0"/>
      <w:ind w:right="-57" w:hanging="179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FE42C" w14:textId="56133301" w:rsidR="00EA58F4" w:rsidRDefault="00EA58F4">
    <w:pPr>
      <w:pStyle w:val="Header"/>
    </w:pPr>
    <w:r>
      <w:rPr>
        <w:noProof/>
      </w:rPr>
      <mc:AlternateContent>
        <mc:Choice Requires="wps">
          <w:drawing>
            <wp:anchor distT="0" distB="0" distL="0" distR="0" simplePos="0" relativeHeight="251656192" behindDoc="0" locked="0" layoutInCell="1" allowOverlap="1" wp14:anchorId="39988CBF" wp14:editId="4AD098D6">
              <wp:simplePos x="635" y="635"/>
              <wp:positionH relativeFrom="page">
                <wp:align>center</wp:align>
              </wp:positionH>
              <wp:positionV relativeFrom="page">
                <wp:align>top</wp:align>
              </wp:positionV>
              <wp:extent cx="748030" cy="480695"/>
              <wp:effectExtent l="0" t="0" r="13970" b="14605"/>
              <wp:wrapNone/>
              <wp:docPr id="1518861601" name="Text Box 5"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480695"/>
                      </a:xfrm>
                      <a:prstGeom prst="rect">
                        <a:avLst/>
                      </a:prstGeom>
                      <a:noFill/>
                      <a:ln>
                        <a:noFill/>
                      </a:ln>
                    </wps:spPr>
                    <wps:txbx>
                      <w:txbxContent>
                        <w:p w14:paraId="73B3AE9E" w14:textId="4F3EDD9B" w:rsidR="00EA58F4" w:rsidRPr="00EF5242" w:rsidRDefault="00EA58F4" w:rsidP="00EF5242">
                          <w:pPr>
                            <w:spacing w:after="0"/>
                            <w:rPr>
                              <w:rFonts w:ascii="Calibri" w:eastAsia="Calibri" w:hAnsi="Calibri" w:cs="Calibri"/>
                              <w:noProof/>
                              <w:color w:val="FF0000"/>
                            </w:rPr>
                          </w:pPr>
                          <w:r w:rsidRPr="00EF5242">
                            <w:rPr>
                              <w:rFonts w:ascii="Calibri" w:eastAsia="Calibri" w:hAnsi="Calibri" w:cs="Calibri"/>
                              <w:noProof/>
                              <w:color w:val="FF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988CBF" id="_x0000_t202" coordsize="21600,21600" o:spt="202" path="m,l,21600r21600,l21600,xe">
              <v:stroke joinstyle="miter"/>
              <v:path gradientshapeok="t" o:connecttype="rect"/>
            </v:shapetype>
            <v:shape id="Text Box 5" o:spid="_x0000_s1033" type="#_x0000_t202" alt="UNOFFICIAL" style="position:absolute;left:0;text-align:left;margin-left:0;margin-top:0;width:58.9pt;height:37.8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" filled="f" stroked="f">
              <v:textbox style="mso-fit-shape-to-text:t" inset="0,15pt,0,0">
                <w:txbxContent>
                  <w:p w14:paraId="73B3AE9E" w14:textId="4F3EDD9B" w:rsidR="00EA58F4" w:rsidRPr="00EF5242" w:rsidRDefault="00EA58F4" w:rsidP="00EF5242">
                    <w:pPr>
                      <w:spacing w:after="0"/>
                      <w:rPr>
                        <w:rFonts w:ascii="Calibri" w:eastAsia="Calibri" w:hAnsi="Calibri" w:cs="Calibri"/>
                        <w:noProof/>
                        <w:color w:val="FF0000"/>
                      </w:rPr>
                    </w:pPr>
                    <w:r w:rsidRPr="00EF5242">
                      <w:rPr>
                        <w:rFonts w:ascii="Calibri" w:eastAsia="Calibri" w:hAnsi="Calibri" w:cs="Calibri"/>
                        <w:noProof/>
                        <w:color w:val="FF0000"/>
                      </w:rPr>
                      <w:t>UNOFFICIAL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28E72" w14:textId="35C1BE24" w:rsidR="00EA58F4" w:rsidRPr="00C56C1D" w:rsidRDefault="00EA58F4" w:rsidP="71AE851B">
    <w:pPr>
      <w:pStyle w:val="Header"/>
      <w:tabs>
        <w:tab w:val="clear" w:pos="4513"/>
        <w:tab w:val="clear" w:pos="9026"/>
        <w:tab w:val="right" w:pos="8364"/>
      </w:tabs>
      <w:spacing w:after="0"/>
      <w:ind w:right="-58"/>
      <w:rPr>
        <w:rFonts w:ascii="Arial" w:eastAsia="Arial" w:hAnsi="Arial" w:cs="Arial"/>
        <w:sz w:val="16"/>
        <w:szCs w:val="16"/>
      </w:rPr>
    </w:pPr>
    <w:r>
      <w:rPr>
        <w:rFonts w:ascii="Arial" w:eastAsia="Arial" w:hAnsi="Arial" w:cs="Arial"/>
        <w:sz w:val="16"/>
        <w:szCs w:val="16"/>
      </w:rPr>
      <w:t>Return on Investment in International Standard Setting</w:t>
    </w:r>
  </w:p>
  <w:p w14:paraId="520F9F07" w14:textId="77777777" w:rsidR="00EA58F4" w:rsidRDefault="00EA58F4" w:rsidP="00984CE5">
    <w:pPr>
      <w:pStyle w:val="Header"/>
      <w:tabs>
        <w:tab w:val="clear" w:pos="4513"/>
        <w:tab w:val="clear" w:pos="9026"/>
        <w:tab w:val="right" w:pos="13892"/>
      </w:tabs>
      <w:spacing w:before="0" w:after="0"/>
      <w:ind w:right="-57" w:hanging="1797"/>
    </w:pPr>
    <w:r>
      <w:rPr>
        <w:i/>
      </w:rPr>
      <w:tab/>
    </w:r>
    <w:r w:rsidRPr="008B3A7C">
      <w:rPr>
        <w:i/>
        <w:u w:val="single"/>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E937C" w14:textId="5E6E5CBA" w:rsidR="00EA58F4" w:rsidRDefault="00EA58F4">
    <w:pPr>
      <w:pStyle w:val="Header"/>
    </w:pPr>
    <w:r>
      <w:rPr>
        <w:noProof/>
      </w:rPr>
      <mc:AlternateContent>
        <mc:Choice Requires="wps">
          <w:drawing>
            <wp:anchor distT="0" distB="0" distL="0" distR="0" simplePos="0" relativeHeight="251654144" behindDoc="0" locked="0" layoutInCell="1" allowOverlap="1" wp14:anchorId="4AE840FC" wp14:editId="1DC6EEE7">
              <wp:simplePos x="635" y="635"/>
              <wp:positionH relativeFrom="page">
                <wp:align>center</wp:align>
              </wp:positionH>
              <wp:positionV relativeFrom="page">
                <wp:align>top</wp:align>
              </wp:positionV>
              <wp:extent cx="748030" cy="480695"/>
              <wp:effectExtent l="0" t="0" r="13970" b="14605"/>
              <wp:wrapNone/>
              <wp:docPr id="875797928" name="Text Box 4"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480695"/>
                      </a:xfrm>
                      <a:prstGeom prst="rect">
                        <a:avLst/>
                      </a:prstGeom>
                      <a:noFill/>
                      <a:ln>
                        <a:noFill/>
                      </a:ln>
                    </wps:spPr>
                    <wps:txbx>
                      <w:txbxContent>
                        <w:p w14:paraId="292E4945" w14:textId="6FBDB035" w:rsidR="00EA58F4" w:rsidRPr="00EF5242" w:rsidRDefault="00EA58F4" w:rsidP="00EF5242">
                          <w:pPr>
                            <w:spacing w:after="0"/>
                            <w:rPr>
                              <w:rFonts w:ascii="Calibri" w:eastAsia="Calibri" w:hAnsi="Calibri" w:cs="Calibri"/>
                              <w:noProof/>
                              <w:color w:val="FF0000"/>
                            </w:rPr>
                          </w:pPr>
                          <w:r w:rsidRPr="00EF5242">
                            <w:rPr>
                              <w:rFonts w:ascii="Calibri" w:eastAsia="Calibri" w:hAnsi="Calibri" w:cs="Calibri"/>
                              <w:noProof/>
                              <w:color w:val="FF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E840FC" id="_x0000_t202" coordsize="21600,21600" o:spt="202" path="m,l,21600r21600,l21600,xe">
              <v:stroke joinstyle="miter"/>
              <v:path gradientshapeok="t" o:connecttype="rect"/>
            </v:shapetype>
            <v:shape id="Text Box 4" o:spid="_x0000_s1035" type="#_x0000_t202" alt="UNOFFICIAL" style="position:absolute;left:0;text-align:left;margin-left:0;margin-top:0;width:58.9pt;height:37.85pt;z-index:2516541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" filled="f" stroked="f">
              <v:textbox style="mso-fit-shape-to-text:t" inset="0,15pt,0,0">
                <w:txbxContent>
                  <w:p w14:paraId="292E4945" w14:textId="6FBDB035" w:rsidR="00EA58F4" w:rsidRPr="00EF5242" w:rsidRDefault="00EA58F4" w:rsidP="00EF5242">
                    <w:pPr>
                      <w:spacing w:after="0"/>
                      <w:rPr>
                        <w:rFonts w:ascii="Calibri" w:eastAsia="Calibri" w:hAnsi="Calibri" w:cs="Calibri"/>
                        <w:noProof/>
                        <w:color w:val="FF0000"/>
                      </w:rPr>
                    </w:pPr>
                    <w:r w:rsidRPr="00EF5242">
                      <w:rPr>
                        <w:rFonts w:ascii="Calibri" w:eastAsia="Calibri" w:hAnsi="Calibri" w:cs="Calibri"/>
                        <w:noProof/>
                        <w:color w:val="FF0000"/>
                      </w:rPr>
                      <w:t>UNOFFICIAL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6D4E014"/>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EF4E17A6"/>
    <w:lvl w:ilvl="0">
      <w:start w:val="1"/>
      <w:numFmt w:val="decimal"/>
      <w:pStyle w:val="ListNumber"/>
      <w:lvlText w:val="%1."/>
      <w:lvlJc w:val="left"/>
      <w:pPr>
        <w:tabs>
          <w:tab w:val="num" w:pos="360"/>
        </w:tabs>
        <w:ind w:left="360" w:hanging="360"/>
      </w:pPr>
    </w:lvl>
  </w:abstractNum>
  <w:abstractNum w:abstractNumId="2" w15:restartNumberingAfterBreak="0">
    <w:nsid w:val="00112E9E"/>
    <w:multiLevelType w:val="hybridMultilevel"/>
    <w:tmpl w:val="52F85750"/>
    <w:lvl w:ilvl="0" w:tplc="91481886">
      <w:start w:val="1"/>
      <w:numFmt w:val="decimal"/>
      <w:pStyle w:val="Numberlist1"/>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 w15:restartNumberingAfterBreak="0">
    <w:nsid w:val="03421E35"/>
    <w:multiLevelType w:val="hybridMultilevel"/>
    <w:tmpl w:val="02828E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AA1E3A"/>
    <w:multiLevelType w:val="hybridMultilevel"/>
    <w:tmpl w:val="9F46B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A33E83"/>
    <w:multiLevelType w:val="hybridMultilevel"/>
    <w:tmpl w:val="DE806CC4"/>
    <w:lvl w:ilvl="0" w:tplc="3DB4A88A">
      <w:start w:val="1"/>
      <w:numFmt w:val="decimal"/>
      <w:lvlText w:val="%1."/>
      <w:lvlJc w:val="left"/>
      <w:pPr>
        <w:ind w:left="720" w:hanging="360"/>
      </w:pPr>
    </w:lvl>
    <w:lvl w:ilvl="1" w:tplc="42B23C42">
      <w:start w:val="1"/>
      <w:numFmt w:val="decimal"/>
      <w:lvlText w:val="%2."/>
      <w:lvlJc w:val="left"/>
      <w:pPr>
        <w:ind w:left="720" w:hanging="360"/>
      </w:pPr>
    </w:lvl>
    <w:lvl w:ilvl="2" w:tplc="3C586844">
      <w:start w:val="1"/>
      <w:numFmt w:val="decimal"/>
      <w:lvlText w:val="%3."/>
      <w:lvlJc w:val="left"/>
      <w:pPr>
        <w:ind w:left="720" w:hanging="360"/>
      </w:pPr>
    </w:lvl>
    <w:lvl w:ilvl="3" w:tplc="77F0D0DC">
      <w:start w:val="1"/>
      <w:numFmt w:val="decimal"/>
      <w:lvlText w:val="%4."/>
      <w:lvlJc w:val="left"/>
      <w:pPr>
        <w:ind w:left="720" w:hanging="360"/>
      </w:pPr>
    </w:lvl>
    <w:lvl w:ilvl="4" w:tplc="084E1124">
      <w:start w:val="1"/>
      <w:numFmt w:val="decimal"/>
      <w:lvlText w:val="%5."/>
      <w:lvlJc w:val="left"/>
      <w:pPr>
        <w:ind w:left="720" w:hanging="360"/>
      </w:pPr>
    </w:lvl>
    <w:lvl w:ilvl="5" w:tplc="094C1654">
      <w:start w:val="1"/>
      <w:numFmt w:val="decimal"/>
      <w:lvlText w:val="%6."/>
      <w:lvlJc w:val="left"/>
      <w:pPr>
        <w:ind w:left="720" w:hanging="360"/>
      </w:pPr>
    </w:lvl>
    <w:lvl w:ilvl="6" w:tplc="EC6C8A2E">
      <w:start w:val="1"/>
      <w:numFmt w:val="decimal"/>
      <w:lvlText w:val="%7."/>
      <w:lvlJc w:val="left"/>
      <w:pPr>
        <w:ind w:left="720" w:hanging="360"/>
      </w:pPr>
    </w:lvl>
    <w:lvl w:ilvl="7" w:tplc="7FC06202">
      <w:start w:val="1"/>
      <w:numFmt w:val="decimal"/>
      <w:lvlText w:val="%8."/>
      <w:lvlJc w:val="left"/>
      <w:pPr>
        <w:ind w:left="720" w:hanging="360"/>
      </w:pPr>
    </w:lvl>
    <w:lvl w:ilvl="8" w:tplc="7E946D9E">
      <w:start w:val="1"/>
      <w:numFmt w:val="decimal"/>
      <w:lvlText w:val="%9."/>
      <w:lvlJc w:val="left"/>
      <w:pPr>
        <w:ind w:left="720" w:hanging="360"/>
      </w:pPr>
    </w:lvl>
  </w:abstractNum>
  <w:abstractNum w:abstractNumId="6" w15:restartNumberingAfterBreak="0">
    <w:nsid w:val="16992EDB"/>
    <w:multiLevelType w:val="hybridMultilevel"/>
    <w:tmpl w:val="E1309A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9B25F6"/>
    <w:multiLevelType w:val="hybridMultilevel"/>
    <w:tmpl w:val="34E254BA"/>
    <w:lvl w:ilvl="0" w:tplc="0C090001">
      <w:start w:val="1"/>
      <w:numFmt w:val="bullet"/>
      <w:lvlText w:val=""/>
      <w:lvlJc w:val="left"/>
      <w:pPr>
        <w:ind w:left="363" w:hanging="360"/>
      </w:pPr>
      <w:rPr>
        <w:rFonts w:ascii="Symbol" w:hAnsi="Symbol" w:hint="default"/>
      </w:rPr>
    </w:lvl>
    <w:lvl w:ilvl="1" w:tplc="0C090003">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8" w15:restartNumberingAfterBreak="0">
    <w:nsid w:val="24200978"/>
    <w:multiLevelType w:val="hybridMultilevel"/>
    <w:tmpl w:val="0770AD8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27AB09B4"/>
    <w:multiLevelType w:val="hybridMultilevel"/>
    <w:tmpl w:val="BDB2E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030DC3"/>
    <w:multiLevelType w:val="hybridMultilevel"/>
    <w:tmpl w:val="5D32CED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F24DFB"/>
    <w:multiLevelType w:val="hybridMultilevel"/>
    <w:tmpl w:val="D8E2D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F17A6A"/>
    <w:multiLevelType w:val="hybridMultilevel"/>
    <w:tmpl w:val="F462F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D4723D"/>
    <w:multiLevelType w:val="hybridMultilevel"/>
    <w:tmpl w:val="A19AFD4C"/>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33811ADF"/>
    <w:multiLevelType w:val="hybridMultilevel"/>
    <w:tmpl w:val="16AE7976"/>
    <w:lvl w:ilvl="0" w:tplc="56D483D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9B05BD2"/>
    <w:multiLevelType w:val="hybridMultilevel"/>
    <w:tmpl w:val="BB7E73EE"/>
    <w:lvl w:ilvl="0" w:tplc="055E66D2">
      <w:start w:val="1"/>
      <w:numFmt w:val="bullet"/>
      <w:lvlText w:val=""/>
      <w:lvlJc w:val="left"/>
      <w:pPr>
        <w:ind w:left="1440" w:hanging="360"/>
      </w:pPr>
      <w:rPr>
        <w:rFonts w:ascii="Symbol" w:hAnsi="Symbol"/>
      </w:rPr>
    </w:lvl>
    <w:lvl w:ilvl="1" w:tplc="F0B6019A">
      <w:start w:val="1"/>
      <w:numFmt w:val="bullet"/>
      <w:lvlText w:val=""/>
      <w:lvlJc w:val="left"/>
      <w:pPr>
        <w:ind w:left="1440" w:hanging="360"/>
      </w:pPr>
      <w:rPr>
        <w:rFonts w:ascii="Symbol" w:hAnsi="Symbol"/>
      </w:rPr>
    </w:lvl>
    <w:lvl w:ilvl="2" w:tplc="BD644B40">
      <w:start w:val="1"/>
      <w:numFmt w:val="bullet"/>
      <w:lvlText w:val=""/>
      <w:lvlJc w:val="left"/>
      <w:pPr>
        <w:ind w:left="1440" w:hanging="360"/>
      </w:pPr>
      <w:rPr>
        <w:rFonts w:ascii="Symbol" w:hAnsi="Symbol"/>
      </w:rPr>
    </w:lvl>
    <w:lvl w:ilvl="3" w:tplc="59208768">
      <w:start w:val="1"/>
      <w:numFmt w:val="bullet"/>
      <w:lvlText w:val=""/>
      <w:lvlJc w:val="left"/>
      <w:pPr>
        <w:ind w:left="1440" w:hanging="360"/>
      </w:pPr>
      <w:rPr>
        <w:rFonts w:ascii="Symbol" w:hAnsi="Symbol"/>
      </w:rPr>
    </w:lvl>
    <w:lvl w:ilvl="4" w:tplc="266A3E98">
      <w:start w:val="1"/>
      <w:numFmt w:val="bullet"/>
      <w:lvlText w:val=""/>
      <w:lvlJc w:val="left"/>
      <w:pPr>
        <w:ind w:left="1440" w:hanging="360"/>
      </w:pPr>
      <w:rPr>
        <w:rFonts w:ascii="Symbol" w:hAnsi="Symbol"/>
      </w:rPr>
    </w:lvl>
    <w:lvl w:ilvl="5" w:tplc="B35C5CAA">
      <w:start w:val="1"/>
      <w:numFmt w:val="bullet"/>
      <w:lvlText w:val=""/>
      <w:lvlJc w:val="left"/>
      <w:pPr>
        <w:ind w:left="1440" w:hanging="360"/>
      </w:pPr>
      <w:rPr>
        <w:rFonts w:ascii="Symbol" w:hAnsi="Symbol"/>
      </w:rPr>
    </w:lvl>
    <w:lvl w:ilvl="6" w:tplc="6146284C">
      <w:start w:val="1"/>
      <w:numFmt w:val="bullet"/>
      <w:lvlText w:val=""/>
      <w:lvlJc w:val="left"/>
      <w:pPr>
        <w:ind w:left="1440" w:hanging="360"/>
      </w:pPr>
      <w:rPr>
        <w:rFonts w:ascii="Symbol" w:hAnsi="Symbol"/>
      </w:rPr>
    </w:lvl>
    <w:lvl w:ilvl="7" w:tplc="6F92B388">
      <w:start w:val="1"/>
      <w:numFmt w:val="bullet"/>
      <w:lvlText w:val=""/>
      <w:lvlJc w:val="left"/>
      <w:pPr>
        <w:ind w:left="1440" w:hanging="360"/>
      </w:pPr>
      <w:rPr>
        <w:rFonts w:ascii="Symbol" w:hAnsi="Symbol"/>
      </w:rPr>
    </w:lvl>
    <w:lvl w:ilvl="8" w:tplc="16C28C36">
      <w:start w:val="1"/>
      <w:numFmt w:val="bullet"/>
      <w:lvlText w:val=""/>
      <w:lvlJc w:val="left"/>
      <w:pPr>
        <w:ind w:left="1440" w:hanging="360"/>
      </w:pPr>
      <w:rPr>
        <w:rFonts w:ascii="Symbol" w:hAnsi="Symbol"/>
      </w:rPr>
    </w:lvl>
  </w:abstractNum>
  <w:abstractNum w:abstractNumId="16" w15:restartNumberingAfterBreak="0">
    <w:nsid w:val="3A0046E9"/>
    <w:multiLevelType w:val="multilevel"/>
    <w:tmpl w:val="1CC646BA"/>
    <w:lvl w:ilvl="0">
      <w:start w:val="1"/>
      <w:numFmt w:val="decimal"/>
      <w:pStyle w:val="Heading1"/>
      <w:lvlText w:val="%1."/>
      <w:lvlJc w:val="left"/>
      <w:pPr>
        <w:ind w:left="786" w:hanging="360"/>
      </w:pPr>
      <w:rPr>
        <w:rFonts w:hint="default"/>
      </w:rPr>
    </w:lvl>
    <w:lvl w:ilvl="1">
      <w:start w:val="1"/>
      <w:numFmt w:val="decimal"/>
      <w:pStyle w:val="Heading2"/>
      <w:lvlText w:val="%1.%2"/>
      <w:lvlJc w:val="left"/>
      <w:pPr>
        <w:ind w:left="641" w:hanging="357"/>
      </w:pPr>
    </w:lvl>
    <w:lvl w:ilvl="2">
      <w:start w:val="1"/>
      <w:numFmt w:val="decimal"/>
      <w:lvlText w:val="%1.%2.%3"/>
      <w:lvlJc w:val="left"/>
      <w:pPr>
        <w:ind w:left="641" w:hanging="357"/>
      </w:pPr>
      <w:rPr>
        <w:rFonts w:hint="default"/>
      </w:rPr>
    </w:lvl>
    <w:lvl w:ilvl="3">
      <w:start w:val="1"/>
      <w:numFmt w:val="decimal"/>
      <w:lvlText w:val="%1.%2.%3.%4"/>
      <w:lvlJc w:val="left"/>
      <w:pPr>
        <w:ind w:left="1712" w:hanging="357"/>
      </w:pPr>
      <w:rPr>
        <w:rFonts w:hint="default"/>
      </w:rPr>
    </w:lvl>
    <w:lvl w:ilvl="4">
      <w:start w:val="1"/>
      <w:numFmt w:val="none"/>
      <w:lvlText w:val=""/>
      <w:lvlJc w:val="left"/>
      <w:pPr>
        <w:ind w:left="2069" w:hanging="357"/>
      </w:pPr>
      <w:rPr>
        <w:rFonts w:hint="default"/>
      </w:rPr>
    </w:lvl>
    <w:lvl w:ilvl="5">
      <w:start w:val="1"/>
      <w:numFmt w:val="none"/>
      <w:lvlText w:val=""/>
      <w:lvlJc w:val="left"/>
      <w:pPr>
        <w:ind w:left="2426" w:hanging="357"/>
      </w:pPr>
      <w:rPr>
        <w:rFonts w:hint="default"/>
      </w:rPr>
    </w:lvl>
    <w:lvl w:ilvl="6">
      <w:start w:val="1"/>
      <w:numFmt w:val="none"/>
      <w:lvlText w:val=""/>
      <w:lvlJc w:val="left"/>
      <w:pPr>
        <w:ind w:left="2783" w:hanging="357"/>
      </w:pPr>
      <w:rPr>
        <w:rFonts w:hint="default"/>
      </w:rPr>
    </w:lvl>
    <w:lvl w:ilvl="7">
      <w:start w:val="1"/>
      <w:numFmt w:val="none"/>
      <w:lvlText w:val=""/>
      <w:lvlJc w:val="left"/>
      <w:pPr>
        <w:ind w:left="3140" w:hanging="357"/>
      </w:pPr>
      <w:rPr>
        <w:rFonts w:hint="default"/>
      </w:rPr>
    </w:lvl>
    <w:lvl w:ilvl="8">
      <w:start w:val="1"/>
      <w:numFmt w:val="none"/>
      <w:lvlText w:val=""/>
      <w:lvlJc w:val="left"/>
      <w:pPr>
        <w:ind w:left="3497" w:hanging="357"/>
      </w:pPr>
      <w:rPr>
        <w:rFonts w:hint="default"/>
      </w:rPr>
    </w:lvl>
  </w:abstractNum>
  <w:abstractNum w:abstractNumId="17" w15:restartNumberingAfterBreak="0">
    <w:nsid w:val="3BB373C3"/>
    <w:multiLevelType w:val="hybridMultilevel"/>
    <w:tmpl w:val="8440FA54"/>
    <w:lvl w:ilvl="0" w:tplc="2968C86C">
      <w:start w:val="1"/>
      <w:numFmt w:val="decimal"/>
      <w:lvlText w:val="%1."/>
      <w:lvlJc w:val="left"/>
      <w:pPr>
        <w:ind w:left="720" w:hanging="360"/>
      </w:pPr>
    </w:lvl>
    <w:lvl w:ilvl="1" w:tplc="528ADEBA">
      <w:start w:val="1"/>
      <w:numFmt w:val="decimal"/>
      <w:lvlText w:val="%2."/>
      <w:lvlJc w:val="left"/>
      <w:pPr>
        <w:ind w:left="720" w:hanging="360"/>
      </w:pPr>
    </w:lvl>
    <w:lvl w:ilvl="2" w:tplc="1DE67BB8">
      <w:start w:val="1"/>
      <w:numFmt w:val="decimal"/>
      <w:lvlText w:val="%3."/>
      <w:lvlJc w:val="left"/>
      <w:pPr>
        <w:ind w:left="720" w:hanging="360"/>
      </w:pPr>
    </w:lvl>
    <w:lvl w:ilvl="3" w:tplc="9DEC0CD6">
      <w:start w:val="1"/>
      <w:numFmt w:val="decimal"/>
      <w:lvlText w:val="%4."/>
      <w:lvlJc w:val="left"/>
      <w:pPr>
        <w:ind w:left="720" w:hanging="360"/>
      </w:pPr>
    </w:lvl>
    <w:lvl w:ilvl="4" w:tplc="AFBE79D8">
      <w:start w:val="1"/>
      <w:numFmt w:val="decimal"/>
      <w:lvlText w:val="%5."/>
      <w:lvlJc w:val="left"/>
      <w:pPr>
        <w:ind w:left="720" w:hanging="360"/>
      </w:pPr>
    </w:lvl>
    <w:lvl w:ilvl="5" w:tplc="B344B106">
      <w:start w:val="1"/>
      <w:numFmt w:val="decimal"/>
      <w:lvlText w:val="%6."/>
      <w:lvlJc w:val="left"/>
      <w:pPr>
        <w:ind w:left="720" w:hanging="360"/>
      </w:pPr>
    </w:lvl>
    <w:lvl w:ilvl="6" w:tplc="BCCC627C">
      <w:start w:val="1"/>
      <w:numFmt w:val="decimal"/>
      <w:lvlText w:val="%7."/>
      <w:lvlJc w:val="left"/>
      <w:pPr>
        <w:ind w:left="720" w:hanging="360"/>
      </w:pPr>
    </w:lvl>
    <w:lvl w:ilvl="7" w:tplc="CBB8D922">
      <w:start w:val="1"/>
      <w:numFmt w:val="decimal"/>
      <w:lvlText w:val="%8."/>
      <w:lvlJc w:val="left"/>
      <w:pPr>
        <w:ind w:left="720" w:hanging="360"/>
      </w:pPr>
    </w:lvl>
    <w:lvl w:ilvl="8" w:tplc="88A23500">
      <w:start w:val="1"/>
      <w:numFmt w:val="decimal"/>
      <w:lvlText w:val="%9."/>
      <w:lvlJc w:val="left"/>
      <w:pPr>
        <w:ind w:left="720" w:hanging="360"/>
      </w:pPr>
    </w:lvl>
  </w:abstractNum>
  <w:abstractNum w:abstractNumId="18" w15:restartNumberingAfterBreak="0">
    <w:nsid w:val="3C4D21F1"/>
    <w:multiLevelType w:val="hybridMultilevel"/>
    <w:tmpl w:val="C8B8B3AA"/>
    <w:lvl w:ilvl="0" w:tplc="2F88DC3C">
      <w:start w:val="1"/>
      <w:numFmt w:val="decimal"/>
      <w:lvlText w:val="%1."/>
      <w:lvlJc w:val="left"/>
      <w:pPr>
        <w:ind w:left="1000" w:hanging="360"/>
      </w:pPr>
    </w:lvl>
    <w:lvl w:ilvl="1" w:tplc="77C6773C">
      <w:start w:val="1"/>
      <w:numFmt w:val="decimal"/>
      <w:lvlText w:val="%2."/>
      <w:lvlJc w:val="left"/>
      <w:pPr>
        <w:ind w:left="1000" w:hanging="360"/>
      </w:pPr>
    </w:lvl>
    <w:lvl w:ilvl="2" w:tplc="A5AAF08E">
      <w:start w:val="1"/>
      <w:numFmt w:val="decimal"/>
      <w:lvlText w:val="%3."/>
      <w:lvlJc w:val="left"/>
      <w:pPr>
        <w:ind w:left="1000" w:hanging="360"/>
      </w:pPr>
    </w:lvl>
    <w:lvl w:ilvl="3" w:tplc="0B1ED15E">
      <w:start w:val="1"/>
      <w:numFmt w:val="decimal"/>
      <w:lvlText w:val="%4."/>
      <w:lvlJc w:val="left"/>
      <w:pPr>
        <w:ind w:left="1000" w:hanging="360"/>
      </w:pPr>
    </w:lvl>
    <w:lvl w:ilvl="4" w:tplc="9168CE48">
      <w:start w:val="1"/>
      <w:numFmt w:val="decimal"/>
      <w:lvlText w:val="%5."/>
      <w:lvlJc w:val="left"/>
      <w:pPr>
        <w:ind w:left="1000" w:hanging="360"/>
      </w:pPr>
    </w:lvl>
    <w:lvl w:ilvl="5" w:tplc="5790B9BC">
      <w:start w:val="1"/>
      <w:numFmt w:val="decimal"/>
      <w:lvlText w:val="%6."/>
      <w:lvlJc w:val="left"/>
      <w:pPr>
        <w:ind w:left="1000" w:hanging="360"/>
      </w:pPr>
    </w:lvl>
    <w:lvl w:ilvl="6" w:tplc="15687562">
      <w:start w:val="1"/>
      <w:numFmt w:val="decimal"/>
      <w:lvlText w:val="%7."/>
      <w:lvlJc w:val="left"/>
      <w:pPr>
        <w:ind w:left="1000" w:hanging="360"/>
      </w:pPr>
    </w:lvl>
    <w:lvl w:ilvl="7" w:tplc="8A9E390E">
      <w:start w:val="1"/>
      <w:numFmt w:val="decimal"/>
      <w:lvlText w:val="%8."/>
      <w:lvlJc w:val="left"/>
      <w:pPr>
        <w:ind w:left="1000" w:hanging="360"/>
      </w:pPr>
    </w:lvl>
    <w:lvl w:ilvl="8" w:tplc="24FE832A">
      <w:start w:val="1"/>
      <w:numFmt w:val="decimal"/>
      <w:lvlText w:val="%9."/>
      <w:lvlJc w:val="left"/>
      <w:pPr>
        <w:ind w:left="1000" w:hanging="360"/>
      </w:pPr>
    </w:lvl>
  </w:abstractNum>
  <w:abstractNum w:abstractNumId="19" w15:restartNumberingAfterBreak="0">
    <w:nsid w:val="420B576C"/>
    <w:multiLevelType w:val="multilevel"/>
    <w:tmpl w:val="4A4C9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481476"/>
    <w:multiLevelType w:val="hybridMultilevel"/>
    <w:tmpl w:val="6382D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8C1F4D"/>
    <w:multiLevelType w:val="hybridMultilevel"/>
    <w:tmpl w:val="F14A4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137F4A"/>
    <w:multiLevelType w:val="multilevel"/>
    <w:tmpl w:val="E5C2F30E"/>
    <w:lvl w:ilvl="0">
      <w:start w:val="3"/>
      <w:numFmt w:val="upperLetter"/>
      <w:lvlText w:val="%1."/>
      <w:lvlJc w:val="left"/>
      <w:pPr>
        <w:ind w:left="648" w:hanging="648"/>
      </w:pPr>
      <w:rPr>
        <w:rFonts w:hint="default"/>
      </w:rPr>
    </w:lvl>
    <w:lvl w:ilvl="1">
      <w:start w:val="1"/>
      <w:numFmt w:val="decimal"/>
      <w:lvlText w:val="%1.%2"/>
      <w:lvlJc w:val="left"/>
      <w:pPr>
        <w:ind w:left="641" w:hanging="357"/>
      </w:pPr>
      <w:rPr>
        <w:rFonts w:hint="default"/>
      </w:rPr>
    </w:lvl>
    <w:lvl w:ilvl="2">
      <w:start w:val="1"/>
      <w:numFmt w:val="decimal"/>
      <w:lvlText w:val="%1.%2.%3"/>
      <w:lvlJc w:val="left"/>
      <w:pPr>
        <w:ind w:left="641" w:hanging="357"/>
      </w:pPr>
      <w:rPr>
        <w:rFonts w:hint="default"/>
      </w:rPr>
    </w:lvl>
    <w:lvl w:ilvl="3">
      <w:start w:val="1"/>
      <w:numFmt w:val="decimal"/>
      <w:pStyle w:val="Heading4"/>
      <w:lvlText w:val="%1.%2.%3.%4"/>
      <w:lvlJc w:val="left"/>
      <w:pPr>
        <w:ind w:left="1712" w:hanging="357"/>
      </w:pPr>
      <w:rPr>
        <w:rFonts w:hint="default"/>
      </w:rPr>
    </w:lvl>
    <w:lvl w:ilvl="4">
      <w:start w:val="1"/>
      <w:numFmt w:val="none"/>
      <w:pStyle w:val="Heading5"/>
      <w:lvlText w:val=""/>
      <w:lvlJc w:val="left"/>
      <w:pPr>
        <w:ind w:left="2069" w:hanging="357"/>
      </w:pPr>
      <w:rPr>
        <w:rFonts w:hint="default"/>
      </w:rPr>
    </w:lvl>
    <w:lvl w:ilvl="5">
      <w:start w:val="1"/>
      <w:numFmt w:val="none"/>
      <w:pStyle w:val="Heading6"/>
      <w:lvlText w:val=""/>
      <w:lvlJc w:val="left"/>
      <w:pPr>
        <w:ind w:left="2426" w:hanging="357"/>
      </w:pPr>
      <w:rPr>
        <w:rFonts w:hint="default"/>
      </w:rPr>
    </w:lvl>
    <w:lvl w:ilvl="6">
      <w:start w:val="1"/>
      <w:numFmt w:val="none"/>
      <w:pStyle w:val="Heading7"/>
      <w:lvlText w:val=""/>
      <w:lvlJc w:val="left"/>
      <w:pPr>
        <w:ind w:left="2783" w:hanging="357"/>
      </w:pPr>
      <w:rPr>
        <w:rFonts w:hint="default"/>
      </w:rPr>
    </w:lvl>
    <w:lvl w:ilvl="7">
      <w:start w:val="1"/>
      <w:numFmt w:val="none"/>
      <w:pStyle w:val="Heading8"/>
      <w:lvlText w:val=""/>
      <w:lvlJc w:val="left"/>
      <w:pPr>
        <w:ind w:left="3140" w:hanging="357"/>
      </w:pPr>
      <w:rPr>
        <w:rFonts w:hint="default"/>
      </w:rPr>
    </w:lvl>
    <w:lvl w:ilvl="8">
      <w:start w:val="1"/>
      <w:numFmt w:val="none"/>
      <w:pStyle w:val="Heading9"/>
      <w:lvlText w:val=""/>
      <w:lvlJc w:val="left"/>
      <w:pPr>
        <w:ind w:left="3497" w:hanging="357"/>
      </w:pPr>
      <w:rPr>
        <w:rFonts w:hint="default"/>
      </w:rPr>
    </w:lvl>
  </w:abstractNum>
  <w:abstractNum w:abstractNumId="23" w15:restartNumberingAfterBreak="0">
    <w:nsid w:val="53D564DF"/>
    <w:multiLevelType w:val="hybridMultilevel"/>
    <w:tmpl w:val="3FFC20D0"/>
    <w:lvl w:ilvl="0" w:tplc="4C524BC8">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54A47C5"/>
    <w:multiLevelType w:val="hybridMultilevel"/>
    <w:tmpl w:val="15164274"/>
    <w:lvl w:ilvl="0" w:tplc="D1B6F284">
      <w:start w:val="1"/>
      <w:numFmt w:val="decimal"/>
      <w:lvlText w:val="%1."/>
      <w:lvlJc w:val="left"/>
      <w:pPr>
        <w:ind w:left="720" w:hanging="360"/>
      </w:pPr>
    </w:lvl>
    <w:lvl w:ilvl="1" w:tplc="7AD4A6D2">
      <w:start w:val="1"/>
      <w:numFmt w:val="decimal"/>
      <w:lvlText w:val="%2."/>
      <w:lvlJc w:val="left"/>
      <w:pPr>
        <w:ind w:left="720" w:hanging="360"/>
      </w:pPr>
    </w:lvl>
    <w:lvl w:ilvl="2" w:tplc="6B5AF0CC">
      <w:start w:val="1"/>
      <w:numFmt w:val="decimal"/>
      <w:lvlText w:val="%3."/>
      <w:lvlJc w:val="left"/>
      <w:pPr>
        <w:ind w:left="720" w:hanging="360"/>
      </w:pPr>
    </w:lvl>
    <w:lvl w:ilvl="3" w:tplc="8178689C">
      <w:start w:val="1"/>
      <w:numFmt w:val="decimal"/>
      <w:lvlText w:val="%4."/>
      <w:lvlJc w:val="left"/>
      <w:pPr>
        <w:ind w:left="720" w:hanging="360"/>
      </w:pPr>
    </w:lvl>
    <w:lvl w:ilvl="4" w:tplc="A7EA3DDC">
      <w:start w:val="1"/>
      <w:numFmt w:val="decimal"/>
      <w:lvlText w:val="%5."/>
      <w:lvlJc w:val="left"/>
      <w:pPr>
        <w:ind w:left="720" w:hanging="360"/>
      </w:pPr>
    </w:lvl>
    <w:lvl w:ilvl="5" w:tplc="6B66B6AC">
      <w:start w:val="1"/>
      <w:numFmt w:val="decimal"/>
      <w:lvlText w:val="%6."/>
      <w:lvlJc w:val="left"/>
      <w:pPr>
        <w:ind w:left="720" w:hanging="360"/>
      </w:pPr>
    </w:lvl>
    <w:lvl w:ilvl="6" w:tplc="6F081702">
      <w:start w:val="1"/>
      <w:numFmt w:val="decimal"/>
      <w:lvlText w:val="%7."/>
      <w:lvlJc w:val="left"/>
      <w:pPr>
        <w:ind w:left="720" w:hanging="360"/>
      </w:pPr>
    </w:lvl>
    <w:lvl w:ilvl="7" w:tplc="2370D4BC">
      <w:start w:val="1"/>
      <w:numFmt w:val="decimal"/>
      <w:lvlText w:val="%8."/>
      <w:lvlJc w:val="left"/>
      <w:pPr>
        <w:ind w:left="720" w:hanging="360"/>
      </w:pPr>
    </w:lvl>
    <w:lvl w:ilvl="8" w:tplc="E6C49ACC">
      <w:start w:val="1"/>
      <w:numFmt w:val="decimal"/>
      <w:lvlText w:val="%9."/>
      <w:lvlJc w:val="left"/>
      <w:pPr>
        <w:ind w:left="720" w:hanging="360"/>
      </w:pPr>
    </w:lvl>
  </w:abstractNum>
  <w:abstractNum w:abstractNumId="25" w15:restartNumberingAfterBreak="0">
    <w:nsid w:val="5CCB2C66"/>
    <w:multiLevelType w:val="hybridMultilevel"/>
    <w:tmpl w:val="1BDAE21C"/>
    <w:lvl w:ilvl="0" w:tplc="E750A5DA">
      <w:start w:val="1"/>
      <w:numFmt w:val="bullet"/>
      <w:lvlText w:val=""/>
      <w:lvlJc w:val="left"/>
      <w:pPr>
        <w:ind w:left="1440" w:hanging="360"/>
      </w:pPr>
      <w:rPr>
        <w:rFonts w:ascii="Symbol" w:hAnsi="Symbol"/>
      </w:rPr>
    </w:lvl>
    <w:lvl w:ilvl="1" w:tplc="0CDC9A10">
      <w:start w:val="1"/>
      <w:numFmt w:val="bullet"/>
      <w:lvlText w:val=""/>
      <w:lvlJc w:val="left"/>
      <w:pPr>
        <w:ind w:left="1440" w:hanging="360"/>
      </w:pPr>
      <w:rPr>
        <w:rFonts w:ascii="Symbol" w:hAnsi="Symbol"/>
      </w:rPr>
    </w:lvl>
    <w:lvl w:ilvl="2" w:tplc="C2EEAD2A">
      <w:start w:val="1"/>
      <w:numFmt w:val="bullet"/>
      <w:lvlText w:val=""/>
      <w:lvlJc w:val="left"/>
      <w:pPr>
        <w:ind w:left="1440" w:hanging="360"/>
      </w:pPr>
      <w:rPr>
        <w:rFonts w:ascii="Symbol" w:hAnsi="Symbol"/>
      </w:rPr>
    </w:lvl>
    <w:lvl w:ilvl="3" w:tplc="C5CA629C">
      <w:start w:val="1"/>
      <w:numFmt w:val="bullet"/>
      <w:lvlText w:val=""/>
      <w:lvlJc w:val="left"/>
      <w:pPr>
        <w:ind w:left="1440" w:hanging="360"/>
      </w:pPr>
      <w:rPr>
        <w:rFonts w:ascii="Symbol" w:hAnsi="Symbol"/>
      </w:rPr>
    </w:lvl>
    <w:lvl w:ilvl="4" w:tplc="5830AAA0">
      <w:start w:val="1"/>
      <w:numFmt w:val="bullet"/>
      <w:lvlText w:val=""/>
      <w:lvlJc w:val="left"/>
      <w:pPr>
        <w:ind w:left="1440" w:hanging="360"/>
      </w:pPr>
      <w:rPr>
        <w:rFonts w:ascii="Symbol" w:hAnsi="Symbol"/>
      </w:rPr>
    </w:lvl>
    <w:lvl w:ilvl="5" w:tplc="410A866E">
      <w:start w:val="1"/>
      <w:numFmt w:val="bullet"/>
      <w:lvlText w:val=""/>
      <w:lvlJc w:val="left"/>
      <w:pPr>
        <w:ind w:left="1440" w:hanging="360"/>
      </w:pPr>
      <w:rPr>
        <w:rFonts w:ascii="Symbol" w:hAnsi="Symbol"/>
      </w:rPr>
    </w:lvl>
    <w:lvl w:ilvl="6" w:tplc="B526EEEC">
      <w:start w:val="1"/>
      <w:numFmt w:val="bullet"/>
      <w:lvlText w:val=""/>
      <w:lvlJc w:val="left"/>
      <w:pPr>
        <w:ind w:left="1440" w:hanging="360"/>
      </w:pPr>
      <w:rPr>
        <w:rFonts w:ascii="Symbol" w:hAnsi="Symbol"/>
      </w:rPr>
    </w:lvl>
    <w:lvl w:ilvl="7" w:tplc="7AD22C98">
      <w:start w:val="1"/>
      <w:numFmt w:val="bullet"/>
      <w:lvlText w:val=""/>
      <w:lvlJc w:val="left"/>
      <w:pPr>
        <w:ind w:left="1440" w:hanging="360"/>
      </w:pPr>
      <w:rPr>
        <w:rFonts w:ascii="Symbol" w:hAnsi="Symbol"/>
      </w:rPr>
    </w:lvl>
    <w:lvl w:ilvl="8" w:tplc="0E60F870">
      <w:start w:val="1"/>
      <w:numFmt w:val="bullet"/>
      <w:lvlText w:val=""/>
      <w:lvlJc w:val="left"/>
      <w:pPr>
        <w:ind w:left="1440" w:hanging="360"/>
      </w:pPr>
      <w:rPr>
        <w:rFonts w:ascii="Symbol" w:hAnsi="Symbol"/>
      </w:rPr>
    </w:lvl>
  </w:abstractNum>
  <w:abstractNum w:abstractNumId="26" w15:restartNumberingAfterBreak="0">
    <w:nsid w:val="5E966E3E"/>
    <w:multiLevelType w:val="hybridMultilevel"/>
    <w:tmpl w:val="10805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20C2C4B"/>
    <w:multiLevelType w:val="hybridMultilevel"/>
    <w:tmpl w:val="AD6A2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456429"/>
    <w:multiLevelType w:val="multilevel"/>
    <w:tmpl w:val="FC2CF074"/>
    <w:lvl w:ilvl="0">
      <w:start w:val="1"/>
      <w:numFmt w:val="decimal"/>
      <w:lvlText w:val="%1."/>
      <w:lvlJc w:val="left"/>
      <w:pPr>
        <w:ind w:left="369" w:hanging="369"/>
      </w:pPr>
      <w:rPr>
        <w:rFonts w:ascii="Arial" w:hAnsi="Arial" w:hint="default"/>
        <w:b w:val="0"/>
        <w:bCs/>
        <w:color w:val="auto"/>
        <w:sz w:val="22"/>
      </w:rPr>
    </w:lvl>
    <w:lvl w:ilvl="1">
      <w:start w:val="1"/>
      <w:numFmt w:val="lowerLetter"/>
      <w:lvlText w:val="%2."/>
      <w:lvlJc w:val="left"/>
      <w:pPr>
        <w:ind w:left="738" w:hanging="369"/>
      </w:pPr>
      <w:rPr>
        <w:rFonts w:hint="default"/>
      </w:rPr>
    </w:lvl>
    <w:lvl w:ilvl="2">
      <w:start w:val="1"/>
      <w:numFmt w:val="bullet"/>
      <w:lvlText w:val="-"/>
      <w:lvlJc w:val="left"/>
      <w:pPr>
        <w:ind w:left="1098" w:hanging="360"/>
      </w:pPr>
      <w:rPr>
        <w:rFonts w:ascii="Courier New" w:hAnsi="Courier New"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29" w15:restartNumberingAfterBreak="0">
    <w:nsid w:val="663A0325"/>
    <w:multiLevelType w:val="hybridMultilevel"/>
    <w:tmpl w:val="7CFEABBA"/>
    <w:lvl w:ilvl="0" w:tplc="12E05EC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6F76FC9"/>
    <w:multiLevelType w:val="multilevel"/>
    <w:tmpl w:val="8BFCE64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67207B4A"/>
    <w:multiLevelType w:val="hybridMultilevel"/>
    <w:tmpl w:val="2CC295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73C2B81"/>
    <w:multiLevelType w:val="hybridMultilevel"/>
    <w:tmpl w:val="6CD8293E"/>
    <w:lvl w:ilvl="0" w:tplc="979A63B4">
      <w:start w:val="1"/>
      <w:numFmt w:val="bullet"/>
      <w:lvlText w:val=""/>
      <w:lvlJc w:val="left"/>
      <w:pPr>
        <w:ind w:left="1440" w:hanging="360"/>
      </w:pPr>
      <w:rPr>
        <w:rFonts w:ascii="Symbol" w:hAnsi="Symbol"/>
      </w:rPr>
    </w:lvl>
    <w:lvl w:ilvl="1" w:tplc="4DB8DE8E">
      <w:start w:val="1"/>
      <w:numFmt w:val="bullet"/>
      <w:lvlText w:val=""/>
      <w:lvlJc w:val="left"/>
      <w:pPr>
        <w:ind w:left="1440" w:hanging="360"/>
      </w:pPr>
      <w:rPr>
        <w:rFonts w:ascii="Symbol" w:hAnsi="Symbol"/>
      </w:rPr>
    </w:lvl>
    <w:lvl w:ilvl="2" w:tplc="7026F1E2">
      <w:start w:val="1"/>
      <w:numFmt w:val="bullet"/>
      <w:lvlText w:val=""/>
      <w:lvlJc w:val="left"/>
      <w:pPr>
        <w:ind w:left="1440" w:hanging="360"/>
      </w:pPr>
      <w:rPr>
        <w:rFonts w:ascii="Symbol" w:hAnsi="Symbol"/>
      </w:rPr>
    </w:lvl>
    <w:lvl w:ilvl="3" w:tplc="02DACB7A">
      <w:start w:val="1"/>
      <w:numFmt w:val="bullet"/>
      <w:lvlText w:val=""/>
      <w:lvlJc w:val="left"/>
      <w:pPr>
        <w:ind w:left="1440" w:hanging="360"/>
      </w:pPr>
      <w:rPr>
        <w:rFonts w:ascii="Symbol" w:hAnsi="Symbol"/>
      </w:rPr>
    </w:lvl>
    <w:lvl w:ilvl="4" w:tplc="ABD213AE">
      <w:start w:val="1"/>
      <w:numFmt w:val="bullet"/>
      <w:lvlText w:val=""/>
      <w:lvlJc w:val="left"/>
      <w:pPr>
        <w:ind w:left="1440" w:hanging="360"/>
      </w:pPr>
      <w:rPr>
        <w:rFonts w:ascii="Symbol" w:hAnsi="Symbol"/>
      </w:rPr>
    </w:lvl>
    <w:lvl w:ilvl="5" w:tplc="6310F7E4">
      <w:start w:val="1"/>
      <w:numFmt w:val="bullet"/>
      <w:lvlText w:val=""/>
      <w:lvlJc w:val="left"/>
      <w:pPr>
        <w:ind w:left="1440" w:hanging="360"/>
      </w:pPr>
      <w:rPr>
        <w:rFonts w:ascii="Symbol" w:hAnsi="Symbol"/>
      </w:rPr>
    </w:lvl>
    <w:lvl w:ilvl="6" w:tplc="6A9E9D5E">
      <w:start w:val="1"/>
      <w:numFmt w:val="bullet"/>
      <w:lvlText w:val=""/>
      <w:lvlJc w:val="left"/>
      <w:pPr>
        <w:ind w:left="1440" w:hanging="360"/>
      </w:pPr>
      <w:rPr>
        <w:rFonts w:ascii="Symbol" w:hAnsi="Symbol"/>
      </w:rPr>
    </w:lvl>
    <w:lvl w:ilvl="7" w:tplc="85B27B26">
      <w:start w:val="1"/>
      <w:numFmt w:val="bullet"/>
      <w:lvlText w:val=""/>
      <w:lvlJc w:val="left"/>
      <w:pPr>
        <w:ind w:left="1440" w:hanging="360"/>
      </w:pPr>
      <w:rPr>
        <w:rFonts w:ascii="Symbol" w:hAnsi="Symbol"/>
      </w:rPr>
    </w:lvl>
    <w:lvl w:ilvl="8" w:tplc="CF4A0080">
      <w:start w:val="1"/>
      <w:numFmt w:val="bullet"/>
      <w:lvlText w:val=""/>
      <w:lvlJc w:val="left"/>
      <w:pPr>
        <w:ind w:left="1440" w:hanging="360"/>
      </w:pPr>
      <w:rPr>
        <w:rFonts w:ascii="Symbol" w:hAnsi="Symbol"/>
      </w:rPr>
    </w:lvl>
  </w:abstractNum>
  <w:abstractNum w:abstractNumId="33" w15:restartNumberingAfterBreak="0">
    <w:nsid w:val="67FA22F8"/>
    <w:multiLevelType w:val="hybridMultilevel"/>
    <w:tmpl w:val="8A72A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84E3D77"/>
    <w:multiLevelType w:val="hybridMultilevel"/>
    <w:tmpl w:val="60AE4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9940DAB"/>
    <w:multiLevelType w:val="multilevel"/>
    <w:tmpl w:val="910016F6"/>
    <w:styleLink w:val="Headings"/>
    <w:lvl w:ilvl="0">
      <w:start w:val="1"/>
      <w:numFmt w:val="decimal"/>
      <w:lvlText w:val="%1."/>
      <w:lvlJc w:val="left"/>
      <w:pPr>
        <w:ind w:left="786" w:hanging="360"/>
      </w:pPr>
      <w:rPr>
        <w:rFonts w:hint="default"/>
      </w:rPr>
    </w:lvl>
    <w:lvl w:ilvl="1">
      <w:start w:val="1"/>
      <w:numFmt w:val="decimal"/>
      <w:lvlText w:val="%1.%2"/>
      <w:lvlJc w:val="left"/>
      <w:pPr>
        <w:ind w:left="641" w:hanging="357"/>
      </w:pPr>
      <w:rPr>
        <w:rFonts w:hint="default"/>
      </w:rPr>
    </w:lvl>
    <w:lvl w:ilvl="2">
      <w:start w:val="1"/>
      <w:numFmt w:val="decimal"/>
      <w:lvlText w:val="%1.%2.%3"/>
      <w:lvlJc w:val="left"/>
      <w:pPr>
        <w:ind w:left="641" w:hanging="357"/>
      </w:pPr>
      <w:rPr>
        <w:rFonts w:hint="default"/>
      </w:rPr>
    </w:lvl>
    <w:lvl w:ilvl="3">
      <w:start w:val="1"/>
      <w:numFmt w:val="decimal"/>
      <w:lvlText w:val="%1.%2.%3.%4"/>
      <w:lvlJc w:val="left"/>
      <w:pPr>
        <w:ind w:left="1712" w:hanging="357"/>
      </w:pPr>
      <w:rPr>
        <w:rFonts w:hint="default"/>
      </w:rPr>
    </w:lvl>
    <w:lvl w:ilvl="4">
      <w:start w:val="1"/>
      <w:numFmt w:val="none"/>
      <w:lvlText w:val=""/>
      <w:lvlJc w:val="left"/>
      <w:pPr>
        <w:ind w:left="2069" w:hanging="357"/>
      </w:pPr>
      <w:rPr>
        <w:rFonts w:hint="default"/>
      </w:rPr>
    </w:lvl>
    <w:lvl w:ilvl="5">
      <w:start w:val="1"/>
      <w:numFmt w:val="none"/>
      <w:lvlText w:val=""/>
      <w:lvlJc w:val="left"/>
      <w:pPr>
        <w:ind w:left="2426" w:hanging="357"/>
      </w:pPr>
      <w:rPr>
        <w:rFonts w:hint="default"/>
      </w:rPr>
    </w:lvl>
    <w:lvl w:ilvl="6">
      <w:start w:val="1"/>
      <w:numFmt w:val="none"/>
      <w:lvlText w:val=""/>
      <w:lvlJc w:val="left"/>
      <w:pPr>
        <w:ind w:left="2783" w:hanging="357"/>
      </w:pPr>
      <w:rPr>
        <w:rFonts w:hint="default"/>
      </w:rPr>
    </w:lvl>
    <w:lvl w:ilvl="7">
      <w:start w:val="1"/>
      <w:numFmt w:val="none"/>
      <w:lvlText w:val=""/>
      <w:lvlJc w:val="left"/>
      <w:pPr>
        <w:ind w:left="3140" w:hanging="357"/>
      </w:pPr>
      <w:rPr>
        <w:rFonts w:hint="default"/>
      </w:rPr>
    </w:lvl>
    <w:lvl w:ilvl="8">
      <w:start w:val="1"/>
      <w:numFmt w:val="none"/>
      <w:lvlText w:val=""/>
      <w:lvlJc w:val="left"/>
      <w:pPr>
        <w:ind w:left="3497" w:hanging="357"/>
      </w:pPr>
      <w:rPr>
        <w:rFonts w:hint="default"/>
      </w:rPr>
    </w:lvl>
  </w:abstractNum>
  <w:abstractNum w:abstractNumId="36" w15:restartNumberingAfterBreak="0">
    <w:nsid w:val="72394B9A"/>
    <w:multiLevelType w:val="multilevel"/>
    <w:tmpl w:val="F4B09CCE"/>
    <w:lvl w:ilvl="0">
      <w:start w:val="1"/>
      <w:numFmt w:val="upperLetter"/>
      <w:pStyle w:val="AppHead3"/>
      <w:lvlText w:val="Appendix %1:"/>
      <w:lvlJc w:val="left"/>
      <w:pPr>
        <w:tabs>
          <w:tab w:val="num" w:pos="2160"/>
        </w:tabs>
        <w:ind w:left="2160" w:hanging="2160"/>
      </w:pPr>
      <w:rPr>
        <w:rFonts w:hint="default"/>
      </w:rPr>
    </w:lvl>
    <w:lvl w:ilvl="1">
      <w:start w:val="1"/>
      <w:numFmt w:val="decimal"/>
      <w:pStyle w:val="AppHead2"/>
      <w:lvlText w:val="%1.%2."/>
      <w:lvlJc w:val="left"/>
      <w:pPr>
        <w:ind w:left="720" w:hanging="720"/>
      </w:pPr>
      <w:rPr>
        <w:rFonts w:hint="default"/>
      </w:rPr>
    </w:lvl>
    <w:lvl w:ilvl="2">
      <w:start w:val="1"/>
      <w:numFmt w:val="decimal"/>
      <w:pStyle w:val="AppHead3"/>
      <w:lvlText w:val="%1.%2.%3."/>
      <w:lvlJc w:val="right"/>
      <w:pPr>
        <w:ind w:left="72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F133E3E"/>
    <w:multiLevelType w:val="multilevel"/>
    <w:tmpl w:val="112E81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7F330B7C"/>
    <w:multiLevelType w:val="hybridMultilevel"/>
    <w:tmpl w:val="A3DE0228"/>
    <w:lvl w:ilvl="0" w:tplc="E59EA35E">
      <w:start w:val="1"/>
      <w:numFmt w:val="bullet"/>
      <w:pStyle w:val="List4"/>
      <w:lvlText w:val=""/>
      <w:lvlJc w:val="left"/>
      <w:pPr>
        <w:ind w:left="1569" w:hanging="360"/>
      </w:pPr>
      <w:rPr>
        <w:rFonts w:ascii="Symbol" w:hAnsi="Symbol" w:hint="default"/>
      </w:rPr>
    </w:lvl>
    <w:lvl w:ilvl="1" w:tplc="08090003">
      <w:start w:val="1"/>
      <w:numFmt w:val="bullet"/>
      <w:lvlText w:val="o"/>
      <w:lvlJc w:val="left"/>
      <w:pPr>
        <w:ind w:left="2289" w:hanging="360"/>
      </w:pPr>
      <w:rPr>
        <w:rFonts w:ascii="Courier New" w:hAnsi="Courier New" w:cs="Courier New" w:hint="default"/>
      </w:rPr>
    </w:lvl>
    <w:lvl w:ilvl="2" w:tplc="08090005" w:tentative="1">
      <w:start w:val="1"/>
      <w:numFmt w:val="bullet"/>
      <w:lvlText w:val=""/>
      <w:lvlJc w:val="left"/>
      <w:pPr>
        <w:ind w:left="3009" w:hanging="360"/>
      </w:pPr>
      <w:rPr>
        <w:rFonts w:ascii="Wingdings" w:hAnsi="Wingdings" w:hint="default"/>
      </w:rPr>
    </w:lvl>
    <w:lvl w:ilvl="3" w:tplc="08090001" w:tentative="1">
      <w:start w:val="1"/>
      <w:numFmt w:val="bullet"/>
      <w:lvlText w:val=""/>
      <w:lvlJc w:val="left"/>
      <w:pPr>
        <w:ind w:left="3729" w:hanging="360"/>
      </w:pPr>
      <w:rPr>
        <w:rFonts w:ascii="Symbol" w:hAnsi="Symbol" w:hint="default"/>
      </w:rPr>
    </w:lvl>
    <w:lvl w:ilvl="4" w:tplc="08090003" w:tentative="1">
      <w:start w:val="1"/>
      <w:numFmt w:val="bullet"/>
      <w:lvlText w:val="o"/>
      <w:lvlJc w:val="left"/>
      <w:pPr>
        <w:ind w:left="4449" w:hanging="360"/>
      </w:pPr>
      <w:rPr>
        <w:rFonts w:ascii="Courier New" w:hAnsi="Courier New" w:cs="Courier New" w:hint="default"/>
      </w:rPr>
    </w:lvl>
    <w:lvl w:ilvl="5" w:tplc="08090005" w:tentative="1">
      <w:start w:val="1"/>
      <w:numFmt w:val="bullet"/>
      <w:lvlText w:val=""/>
      <w:lvlJc w:val="left"/>
      <w:pPr>
        <w:ind w:left="5169" w:hanging="360"/>
      </w:pPr>
      <w:rPr>
        <w:rFonts w:ascii="Wingdings" w:hAnsi="Wingdings" w:hint="default"/>
      </w:rPr>
    </w:lvl>
    <w:lvl w:ilvl="6" w:tplc="08090001" w:tentative="1">
      <w:start w:val="1"/>
      <w:numFmt w:val="bullet"/>
      <w:lvlText w:val=""/>
      <w:lvlJc w:val="left"/>
      <w:pPr>
        <w:ind w:left="5889" w:hanging="360"/>
      </w:pPr>
      <w:rPr>
        <w:rFonts w:ascii="Symbol" w:hAnsi="Symbol" w:hint="default"/>
      </w:rPr>
    </w:lvl>
    <w:lvl w:ilvl="7" w:tplc="08090003" w:tentative="1">
      <w:start w:val="1"/>
      <w:numFmt w:val="bullet"/>
      <w:lvlText w:val="o"/>
      <w:lvlJc w:val="left"/>
      <w:pPr>
        <w:ind w:left="6609" w:hanging="360"/>
      </w:pPr>
      <w:rPr>
        <w:rFonts w:ascii="Courier New" w:hAnsi="Courier New" w:cs="Courier New" w:hint="default"/>
      </w:rPr>
    </w:lvl>
    <w:lvl w:ilvl="8" w:tplc="08090005" w:tentative="1">
      <w:start w:val="1"/>
      <w:numFmt w:val="bullet"/>
      <w:lvlText w:val=""/>
      <w:lvlJc w:val="left"/>
      <w:pPr>
        <w:ind w:left="7329" w:hanging="360"/>
      </w:pPr>
      <w:rPr>
        <w:rFonts w:ascii="Wingdings" w:hAnsi="Wingdings" w:hint="default"/>
      </w:rPr>
    </w:lvl>
  </w:abstractNum>
  <w:num w:numId="1" w16cid:durableId="356009398">
    <w:abstractNumId w:val="16"/>
  </w:num>
  <w:num w:numId="2" w16cid:durableId="1833058236">
    <w:abstractNumId w:val="22"/>
  </w:num>
  <w:num w:numId="3" w16cid:durableId="840314726">
    <w:abstractNumId w:val="36"/>
  </w:num>
  <w:num w:numId="4" w16cid:durableId="397703489">
    <w:abstractNumId w:val="36"/>
    <w:lvlOverride w:ilvl="0">
      <w:lvl w:ilvl="0">
        <w:start w:val="1"/>
        <w:numFmt w:val="upperLetter"/>
        <w:pStyle w:val="AppHead3"/>
        <w:lvlText w:val="Appendix %1:"/>
        <w:lvlJc w:val="left"/>
        <w:pPr>
          <w:tabs>
            <w:tab w:val="num" w:pos="2160"/>
          </w:tabs>
          <w:ind w:left="2160" w:hanging="2160"/>
        </w:pPr>
        <w:rPr>
          <w:rFonts w:hint="default"/>
        </w:rPr>
      </w:lvl>
    </w:lvlOverride>
    <w:lvlOverride w:ilvl="1">
      <w:lvl w:ilvl="1">
        <w:start w:val="1"/>
        <w:numFmt w:val="decimal"/>
        <w:pStyle w:val="AppHead2"/>
        <w:lvlText w:val="%1.%2."/>
        <w:lvlJc w:val="left"/>
        <w:pPr>
          <w:ind w:left="720" w:hanging="720"/>
        </w:pPr>
        <w:rPr>
          <w:rFonts w:hint="default"/>
        </w:rPr>
      </w:lvl>
    </w:lvlOverride>
    <w:lvlOverride w:ilvl="2">
      <w:lvl w:ilvl="2">
        <w:start w:val="1"/>
        <w:numFmt w:val="decimal"/>
        <w:pStyle w:val="AppHead3"/>
        <w:lvlText w:val="%1.%2.%3."/>
        <w:lvlJc w:val="left"/>
        <w:pPr>
          <w:ind w:left="720" w:hanging="72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5" w16cid:durableId="1027371438">
    <w:abstractNumId w:val="35"/>
  </w:num>
  <w:num w:numId="6" w16cid:durableId="555354275">
    <w:abstractNumId w:val="0"/>
  </w:num>
  <w:num w:numId="7" w16cid:durableId="929310468">
    <w:abstractNumId w:val="1"/>
  </w:num>
  <w:num w:numId="8" w16cid:durableId="1647277220">
    <w:abstractNumId w:val="38"/>
  </w:num>
  <w:num w:numId="9" w16cid:durableId="1725442746">
    <w:abstractNumId w:val="9"/>
  </w:num>
  <w:num w:numId="10" w16cid:durableId="644043627">
    <w:abstractNumId w:val="4"/>
  </w:num>
  <w:num w:numId="11" w16cid:durableId="1902133709">
    <w:abstractNumId w:val="31"/>
  </w:num>
  <w:num w:numId="12" w16cid:durableId="1075594175">
    <w:abstractNumId w:val="19"/>
  </w:num>
  <w:num w:numId="13" w16cid:durableId="916980434">
    <w:abstractNumId w:val="7"/>
  </w:num>
  <w:num w:numId="14" w16cid:durableId="1541278336">
    <w:abstractNumId w:val="12"/>
  </w:num>
  <w:num w:numId="15" w16cid:durableId="1540817666">
    <w:abstractNumId w:val="13"/>
  </w:num>
  <w:num w:numId="16" w16cid:durableId="369955843">
    <w:abstractNumId w:val="34"/>
  </w:num>
  <w:num w:numId="17" w16cid:durableId="1115782710">
    <w:abstractNumId w:val="8"/>
  </w:num>
  <w:num w:numId="18" w16cid:durableId="1675911524">
    <w:abstractNumId w:val="33"/>
  </w:num>
  <w:num w:numId="19" w16cid:durableId="282425636">
    <w:abstractNumId w:val="26"/>
  </w:num>
  <w:num w:numId="20" w16cid:durableId="1790391155">
    <w:abstractNumId w:val="10"/>
  </w:num>
  <w:num w:numId="21" w16cid:durableId="1296445914">
    <w:abstractNumId w:val="16"/>
  </w:num>
  <w:num w:numId="22" w16cid:durableId="1215198755">
    <w:abstractNumId w:val="16"/>
  </w:num>
  <w:num w:numId="23" w16cid:durableId="1152909421">
    <w:abstractNumId w:val="21"/>
  </w:num>
  <w:num w:numId="24" w16cid:durableId="790787292">
    <w:abstractNumId w:val="3"/>
  </w:num>
  <w:num w:numId="25" w16cid:durableId="32123296">
    <w:abstractNumId w:val="11"/>
  </w:num>
  <w:num w:numId="26" w16cid:durableId="1897205623">
    <w:abstractNumId w:val="20"/>
  </w:num>
  <w:num w:numId="27" w16cid:durableId="1765884607">
    <w:abstractNumId w:val="28"/>
  </w:num>
  <w:num w:numId="28" w16cid:durableId="2047173962">
    <w:abstractNumId w:val="27"/>
  </w:num>
  <w:num w:numId="29" w16cid:durableId="778646576">
    <w:abstractNumId w:val="37"/>
  </w:num>
  <w:num w:numId="30" w16cid:durableId="1213276108">
    <w:abstractNumId w:val="23"/>
  </w:num>
  <w:num w:numId="31" w16cid:durableId="1178885981">
    <w:abstractNumId w:val="14"/>
  </w:num>
  <w:num w:numId="32" w16cid:durableId="1298990309">
    <w:abstractNumId w:val="29"/>
  </w:num>
  <w:num w:numId="33" w16cid:durableId="340665868">
    <w:abstractNumId w:val="14"/>
  </w:num>
  <w:num w:numId="34" w16cid:durableId="36200265">
    <w:abstractNumId w:val="14"/>
  </w:num>
  <w:num w:numId="35" w16cid:durableId="1497648254">
    <w:abstractNumId w:val="16"/>
  </w:num>
  <w:num w:numId="36" w16cid:durableId="1618944971">
    <w:abstractNumId w:val="16"/>
  </w:num>
  <w:num w:numId="37" w16cid:durableId="641889337">
    <w:abstractNumId w:val="14"/>
  </w:num>
  <w:num w:numId="38" w16cid:durableId="1216045464">
    <w:abstractNumId w:val="14"/>
  </w:num>
  <w:num w:numId="39" w16cid:durableId="1690181990">
    <w:abstractNumId w:val="30"/>
  </w:num>
  <w:num w:numId="40" w16cid:durableId="1878741279">
    <w:abstractNumId w:val="2"/>
  </w:num>
  <w:num w:numId="41" w16cid:durableId="1945648893">
    <w:abstractNumId w:val="2"/>
    <w:lvlOverride w:ilvl="0">
      <w:startOverride w:val="1"/>
    </w:lvlOverride>
  </w:num>
  <w:num w:numId="42" w16cid:durableId="1908110525">
    <w:abstractNumId w:val="2"/>
    <w:lvlOverride w:ilvl="0">
      <w:startOverride w:val="1"/>
    </w:lvlOverride>
  </w:num>
  <w:num w:numId="43" w16cid:durableId="999311372">
    <w:abstractNumId w:val="15"/>
  </w:num>
  <w:num w:numId="44" w16cid:durableId="934049889">
    <w:abstractNumId w:val="25"/>
  </w:num>
  <w:num w:numId="45" w16cid:durableId="1066102495">
    <w:abstractNumId w:val="32"/>
  </w:num>
  <w:num w:numId="46" w16cid:durableId="1067262458">
    <w:abstractNumId w:val="6"/>
  </w:num>
  <w:num w:numId="47" w16cid:durableId="479926690">
    <w:abstractNumId w:val="2"/>
    <w:lvlOverride w:ilvl="0">
      <w:startOverride w:val="1"/>
    </w:lvlOverride>
  </w:num>
  <w:num w:numId="48" w16cid:durableId="930352457">
    <w:abstractNumId w:val="16"/>
  </w:num>
  <w:num w:numId="49" w16cid:durableId="1446919606">
    <w:abstractNumId w:val="16"/>
  </w:num>
  <w:num w:numId="50" w16cid:durableId="546338422">
    <w:abstractNumId w:val="17"/>
  </w:num>
  <w:num w:numId="51" w16cid:durableId="1485394778">
    <w:abstractNumId w:val="5"/>
  </w:num>
  <w:num w:numId="52" w16cid:durableId="200170944">
    <w:abstractNumId w:val="24"/>
  </w:num>
  <w:num w:numId="53" w16cid:durableId="1594431537">
    <w:abstractNumId w:val="16"/>
  </w:num>
  <w:num w:numId="54" w16cid:durableId="1083336108">
    <w:abstractNumId w:val="18"/>
  </w:num>
  <w:num w:numId="55" w16cid:durableId="328946060">
    <w:abstractNumId w:val="2"/>
    <w:lvlOverride w:ilvl="0">
      <w:startOverride w:val="1"/>
    </w:lvlOverride>
  </w:num>
  <w:num w:numId="56" w16cid:durableId="396517675">
    <w:abstractNumId w:val="2"/>
  </w:num>
  <w:num w:numId="57" w16cid:durableId="1980916124">
    <w:abstractNumId w:val="2"/>
  </w:num>
  <w:num w:numId="58" w16cid:durableId="445269629">
    <w:abstractNumId w:val="2"/>
  </w:num>
  <w:num w:numId="59" w16cid:durableId="523324019">
    <w:abstractNumId w:val="2"/>
  </w:num>
  <w:num w:numId="60" w16cid:durableId="1982147957">
    <w:abstractNumId w:val="2"/>
  </w:num>
  <w:num w:numId="61" w16cid:durableId="14383503">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JPS&lt;/Style&gt;&lt;LeftDelim&gt;{&lt;/LeftDelim&gt;&lt;RightDelim&gt;}&lt;/RightDelim&gt;&lt;FontName&gt;Cambria&lt;/FontName&gt;&lt;FontSize&gt;16&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vt25d0dcvzvsyea29tv5fs8d9vx5xa0fa00&quot;&gt;Lucie-Converted v2&lt;record-ids&gt;&lt;item&gt;4292&lt;/item&gt;&lt;item&gt;4294&lt;/item&gt;&lt;item&gt;4295&lt;/item&gt;&lt;item&gt;4296&lt;/item&gt;&lt;/record-ids&gt;&lt;/item&gt;&lt;/Libraries&gt;"/>
  </w:docVars>
  <w:rsids>
    <w:rsidRoot w:val="009705CC"/>
    <w:rsid w:val="000001B7"/>
    <w:rsid w:val="000002D2"/>
    <w:rsid w:val="0000082C"/>
    <w:rsid w:val="00000A43"/>
    <w:rsid w:val="00000B9B"/>
    <w:rsid w:val="00000C20"/>
    <w:rsid w:val="00000CB3"/>
    <w:rsid w:val="00000D19"/>
    <w:rsid w:val="00000D58"/>
    <w:rsid w:val="0000125A"/>
    <w:rsid w:val="000014AF"/>
    <w:rsid w:val="000014ED"/>
    <w:rsid w:val="00001853"/>
    <w:rsid w:val="0000199D"/>
    <w:rsid w:val="00001A7A"/>
    <w:rsid w:val="00001DBA"/>
    <w:rsid w:val="00001E82"/>
    <w:rsid w:val="00002290"/>
    <w:rsid w:val="000024B1"/>
    <w:rsid w:val="000024FA"/>
    <w:rsid w:val="0000295E"/>
    <w:rsid w:val="00002AFB"/>
    <w:rsid w:val="00002DDD"/>
    <w:rsid w:val="00002E59"/>
    <w:rsid w:val="00002F29"/>
    <w:rsid w:val="00002F63"/>
    <w:rsid w:val="00002F9B"/>
    <w:rsid w:val="000031B5"/>
    <w:rsid w:val="0000349B"/>
    <w:rsid w:val="000034AB"/>
    <w:rsid w:val="00003903"/>
    <w:rsid w:val="00003A9C"/>
    <w:rsid w:val="00003D7A"/>
    <w:rsid w:val="00003EA1"/>
    <w:rsid w:val="000042F5"/>
    <w:rsid w:val="00004957"/>
    <w:rsid w:val="00004CCA"/>
    <w:rsid w:val="00004D37"/>
    <w:rsid w:val="0000525A"/>
    <w:rsid w:val="00005361"/>
    <w:rsid w:val="00005388"/>
    <w:rsid w:val="00005AB3"/>
    <w:rsid w:val="00005BAC"/>
    <w:rsid w:val="00005E2B"/>
    <w:rsid w:val="00006642"/>
    <w:rsid w:val="0000676D"/>
    <w:rsid w:val="000067FE"/>
    <w:rsid w:val="00007A90"/>
    <w:rsid w:val="00007B8C"/>
    <w:rsid w:val="00007CAD"/>
    <w:rsid w:val="00010A6C"/>
    <w:rsid w:val="00010ADE"/>
    <w:rsid w:val="00010E70"/>
    <w:rsid w:val="00011016"/>
    <w:rsid w:val="000112C1"/>
    <w:rsid w:val="0001147C"/>
    <w:rsid w:val="00011544"/>
    <w:rsid w:val="00011696"/>
    <w:rsid w:val="00011B7B"/>
    <w:rsid w:val="00011CAC"/>
    <w:rsid w:val="00011CB6"/>
    <w:rsid w:val="00011EF4"/>
    <w:rsid w:val="0001248B"/>
    <w:rsid w:val="000129F0"/>
    <w:rsid w:val="00012A2B"/>
    <w:rsid w:val="00012C98"/>
    <w:rsid w:val="00012D0A"/>
    <w:rsid w:val="00012E86"/>
    <w:rsid w:val="0001308E"/>
    <w:rsid w:val="0001326F"/>
    <w:rsid w:val="00013412"/>
    <w:rsid w:val="000139C1"/>
    <w:rsid w:val="00013AFF"/>
    <w:rsid w:val="00013C46"/>
    <w:rsid w:val="00013F8E"/>
    <w:rsid w:val="000142DE"/>
    <w:rsid w:val="00014A82"/>
    <w:rsid w:val="00014D3D"/>
    <w:rsid w:val="00015307"/>
    <w:rsid w:val="0001538D"/>
    <w:rsid w:val="00015410"/>
    <w:rsid w:val="000156AB"/>
    <w:rsid w:val="000156AC"/>
    <w:rsid w:val="00015837"/>
    <w:rsid w:val="00015D14"/>
    <w:rsid w:val="00015F1A"/>
    <w:rsid w:val="0001603C"/>
    <w:rsid w:val="000163B9"/>
    <w:rsid w:val="000164DD"/>
    <w:rsid w:val="0001659E"/>
    <w:rsid w:val="000165C7"/>
    <w:rsid w:val="0001698F"/>
    <w:rsid w:val="00016A61"/>
    <w:rsid w:val="00016A83"/>
    <w:rsid w:val="00016B84"/>
    <w:rsid w:val="00017087"/>
    <w:rsid w:val="000173C5"/>
    <w:rsid w:val="0001767E"/>
    <w:rsid w:val="000177A3"/>
    <w:rsid w:val="00017AE1"/>
    <w:rsid w:val="000209C5"/>
    <w:rsid w:val="00020A0A"/>
    <w:rsid w:val="00020A7C"/>
    <w:rsid w:val="00020B67"/>
    <w:rsid w:val="00021253"/>
    <w:rsid w:val="000218F7"/>
    <w:rsid w:val="000223D9"/>
    <w:rsid w:val="0002268B"/>
    <w:rsid w:val="00022BE4"/>
    <w:rsid w:val="00022D31"/>
    <w:rsid w:val="00022DEE"/>
    <w:rsid w:val="00022F0D"/>
    <w:rsid w:val="00022F9B"/>
    <w:rsid w:val="00023230"/>
    <w:rsid w:val="0002367C"/>
    <w:rsid w:val="00023E74"/>
    <w:rsid w:val="00024011"/>
    <w:rsid w:val="000240ED"/>
    <w:rsid w:val="00024219"/>
    <w:rsid w:val="00024BD6"/>
    <w:rsid w:val="00024DEA"/>
    <w:rsid w:val="00025083"/>
    <w:rsid w:val="00025A25"/>
    <w:rsid w:val="00025FBA"/>
    <w:rsid w:val="0002632A"/>
    <w:rsid w:val="00026658"/>
    <w:rsid w:val="00026665"/>
    <w:rsid w:val="00027335"/>
    <w:rsid w:val="0002733F"/>
    <w:rsid w:val="0002758B"/>
    <w:rsid w:val="000275D8"/>
    <w:rsid w:val="00027A0F"/>
    <w:rsid w:val="00027BAD"/>
    <w:rsid w:val="00027C38"/>
    <w:rsid w:val="00027D78"/>
    <w:rsid w:val="000308AF"/>
    <w:rsid w:val="000309E1"/>
    <w:rsid w:val="00030D06"/>
    <w:rsid w:val="00030E31"/>
    <w:rsid w:val="00030E59"/>
    <w:rsid w:val="00030F41"/>
    <w:rsid w:val="00031646"/>
    <w:rsid w:val="00031BE9"/>
    <w:rsid w:val="000322F8"/>
    <w:rsid w:val="000324F3"/>
    <w:rsid w:val="000327BF"/>
    <w:rsid w:val="00032855"/>
    <w:rsid w:val="00032AA4"/>
    <w:rsid w:val="00032F1A"/>
    <w:rsid w:val="00033130"/>
    <w:rsid w:val="00033225"/>
    <w:rsid w:val="00033F15"/>
    <w:rsid w:val="00034254"/>
    <w:rsid w:val="000344C1"/>
    <w:rsid w:val="00034628"/>
    <w:rsid w:val="00034832"/>
    <w:rsid w:val="000348D2"/>
    <w:rsid w:val="0003501D"/>
    <w:rsid w:val="000354A2"/>
    <w:rsid w:val="00035B23"/>
    <w:rsid w:val="00035DFD"/>
    <w:rsid w:val="000367B5"/>
    <w:rsid w:val="00036E0D"/>
    <w:rsid w:val="00040054"/>
    <w:rsid w:val="00040123"/>
    <w:rsid w:val="0004075A"/>
    <w:rsid w:val="000407AE"/>
    <w:rsid w:val="00040843"/>
    <w:rsid w:val="0004130E"/>
    <w:rsid w:val="0004134A"/>
    <w:rsid w:val="00041419"/>
    <w:rsid w:val="00042416"/>
    <w:rsid w:val="0004242A"/>
    <w:rsid w:val="000425C4"/>
    <w:rsid w:val="00042F17"/>
    <w:rsid w:val="0004344E"/>
    <w:rsid w:val="0004359E"/>
    <w:rsid w:val="000437A1"/>
    <w:rsid w:val="00043F93"/>
    <w:rsid w:val="000444F5"/>
    <w:rsid w:val="00044551"/>
    <w:rsid w:val="0004490A"/>
    <w:rsid w:val="00044B2F"/>
    <w:rsid w:val="00044B93"/>
    <w:rsid w:val="00044BAC"/>
    <w:rsid w:val="00044F0B"/>
    <w:rsid w:val="00044F98"/>
    <w:rsid w:val="00045329"/>
    <w:rsid w:val="00045559"/>
    <w:rsid w:val="00045620"/>
    <w:rsid w:val="00045BB4"/>
    <w:rsid w:val="00045DDD"/>
    <w:rsid w:val="00045F51"/>
    <w:rsid w:val="000460D9"/>
    <w:rsid w:val="000468F3"/>
    <w:rsid w:val="00046A8E"/>
    <w:rsid w:val="00046DD6"/>
    <w:rsid w:val="000471CB"/>
    <w:rsid w:val="000476CE"/>
    <w:rsid w:val="00047F02"/>
    <w:rsid w:val="00050187"/>
    <w:rsid w:val="00050216"/>
    <w:rsid w:val="00050871"/>
    <w:rsid w:val="0005101C"/>
    <w:rsid w:val="00051066"/>
    <w:rsid w:val="000512D6"/>
    <w:rsid w:val="00051A7D"/>
    <w:rsid w:val="00051CD5"/>
    <w:rsid w:val="00051D36"/>
    <w:rsid w:val="00051E4F"/>
    <w:rsid w:val="0005204D"/>
    <w:rsid w:val="000522D7"/>
    <w:rsid w:val="00052385"/>
    <w:rsid w:val="0005252D"/>
    <w:rsid w:val="0005254C"/>
    <w:rsid w:val="000527F4"/>
    <w:rsid w:val="00052D4D"/>
    <w:rsid w:val="00053656"/>
    <w:rsid w:val="0005381A"/>
    <w:rsid w:val="0005383D"/>
    <w:rsid w:val="00053B1B"/>
    <w:rsid w:val="00053D79"/>
    <w:rsid w:val="00055129"/>
    <w:rsid w:val="000552CD"/>
    <w:rsid w:val="00055443"/>
    <w:rsid w:val="000558AE"/>
    <w:rsid w:val="00055975"/>
    <w:rsid w:val="0005649F"/>
    <w:rsid w:val="00056737"/>
    <w:rsid w:val="00056C01"/>
    <w:rsid w:val="00056C8D"/>
    <w:rsid w:val="000576BE"/>
    <w:rsid w:val="000576DF"/>
    <w:rsid w:val="000577CB"/>
    <w:rsid w:val="00057A59"/>
    <w:rsid w:val="0006037B"/>
    <w:rsid w:val="000608DF"/>
    <w:rsid w:val="00060BD7"/>
    <w:rsid w:val="00062094"/>
    <w:rsid w:val="0006211C"/>
    <w:rsid w:val="000624ED"/>
    <w:rsid w:val="000626B8"/>
    <w:rsid w:val="000628A9"/>
    <w:rsid w:val="00062B7A"/>
    <w:rsid w:val="00062D9E"/>
    <w:rsid w:val="00062DDA"/>
    <w:rsid w:val="00062FBC"/>
    <w:rsid w:val="000635FA"/>
    <w:rsid w:val="00063C92"/>
    <w:rsid w:val="00064339"/>
    <w:rsid w:val="00064BA7"/>
    <w:rsid w:val="0006533D"/>
    <w:rsid w:val="000657E3"/>
    <w:rsid w:val="000658B4"/>
    <w:rsid w:val="00065D1A"/>
    <w:rsid w:val="00065DDB"/>
    <w:rsid w:val="00065F7D"/>
    <w:rsid w:val="0006608D"/>
    <w:rsid w:val="000660C6"/>
    <w:rsid w:val="00066778"/>
    <w:rsid w:val="00066CBB"/>
    <w:rsid w:val="0006780E"/>
    <w:rsid w:val="00067A6D"/>
    <w:rsid w:val="00067B60"/>
    <w:rsid w:val="00067B9F"/>
    <w:rsid w:val="00067D0E"/>
    <w:rsid w:val="00070584"/>
    <w:rsid w:val="000705F2"/>
    <w:rsid w:val="00070690"/>
    <w:rsid w:val="0007086C"/>
    <w:rsid w:val="00070979"/>
    <w:rsid w:val="00070990"/>
    <w:rsid w:val="00070BA9"/>
    <w:rsid w:val="0007170C"/>
    <w:rsid w:val="00071D05"/>
    <w:rsid w:val="00071E50"/>
    <w:rsid w:val="00071E8C"/>
    <w:rsid w:val="00071EB9"/>
    <w:rsid w:val="000722C7"/>
    <w:rsid w:val="00072385"/>
    <w:rsid w:val="00072458"/>
    <w:rsid w:val="000727F5"/>
    <w:rsid w:val="000728A8"/>
    <w:rsid w:val="00072A42"/>
    <w:rsid w:val="00072C27"/>
    <w:rsid w:val="00072F0A"/>
    <w:rsid w:val="00073087"/>
    <w:rsid w:val="00073698"/>
    <w:rsid w:val="000736FD"/>
    <w:rsid w:val="00073842"/>
    <w:rsid w:val="00073CCB"/>
    <w:rsid w:val="00073DEC"/>
    <w:rsid w:val="000740A8"/>
    <w:rsid w:val="000747E7"/>
    <w:rsid w:val="000749A3"/>
    <w:rsid w:val="00074D24"/>
    <w:rsid w:val="00074FB6"/>
    <w:rsid w:val="00075403"/>
    <w:rsid w:val="00075587"/>
    <w:rsid w:val="00075725"/>
    <w:rsid w:val="00075C97"/>
    <w:rsid w:val="00076534"/>
    <w:rsid w:val="000770E8"/>
    <w:rsid w:val="00077172"/>
    <w:rsid w:val="00077809"/>
    <w:rsid w:val="00077C10"/>
    <w:rsid w:val="00080278"/>
    <w:rsid w:val="00080456"/>
    <w:rsid w:val="00080C1E"/>
    <w:rsid w:val="00080CDE"/>
    <w:rsid w:val="00080E87"/>
    <w:rsid w:val="0008103F"/>
    <w:rsid w:val="000817C5"/>
    <w:rsid w:val="000819BB"/>
    <w:rsid w:val="00081A37"/>
    <w:rsid w:val="00081B41"/>
    <w:rsid w:val="00081D84"/>
    <w:rsid w:val="00081E2A"/>
    <w:rsid w:val="000825C6"/>
    <w:rsid w:val="000826C5"/>
    <w:rsid w:val="0008343F"/>
    <w:rsid w:val="000837D6"/>
    <w:rsid w:val="00083802"/>
    <w:rsid w:val="00083992"/>
    <w:rsid w:val="000839BE"/>
    <w:rsid w:val="00084011"/>
    <w:rsid w:val="000841C1"/>
    <w:rsid w:val="0008424A"/>
    <w:rsid w:val="0008429B"/>
    <w:rsid w:val="0008488D"/>
    <w:rsid w:val="0008516D"/>
    <w:rsid w:val="0008539F"/>
    <w:rsid w:val="00085748"/>
    <w:rsid w:val="000857BC"/>
    <w:rsid w:val="0008598E"/>
    <w:rsid w:val="00085C91"/>
    <w:rsid w:val="00085FAC"/>
    <w:rsid w:val="0008640D"/>
    <w:rsid w:val="000866AF"/>
    <w:rsid w:val="000866B9"/>
    <w:rsid w:val="00086F57"/>
    <w:rsid w:val="000873FB"/>
    <w:rsid w:val="000877AC"/>
    <w:rsid w:val="0008788C"/>
    <w:rsid w:val="00087AB6"/>
    <w:rsid w:val="00087D38"/>
    <w:rsid w:val="00087E1F"/>
    <w:rsid w:val="00087EDD"/>
    <w:rsid w:val="00087FC0"/>
    <w:rsid w:val="00090AAC"/>
    <w:rsid w:val="00090B0B"/>
    <w:rsid w:val="00090BD7"/>
    <w:rsid w:val="00090CD3"/>
    <w:rsid w:val="00090D6F"/>
    <w:rsid w:val="000911BE"/>
    <w:rsid w:val="000911C9"/>
    <w:rsid w:val="00091241"/>
    <w:rsid w:val="000913A1"/>
    <w:rsid w:val="000915EA"/>
    <w:rsid w:val="00091B47"/>
    <w:rsid w:val="00092669"/>
    <w:rsid w:val="0009278F"/>
    <w:rsid w:val="00092977"/>
    <w:rsid w:val="00092DD1"/>
    <w:rsid w:val="00092FB9"/>
    <w:rsid w:val="00093896"/>
    <w:rsid w:val="00093E9A"/>
    <w:rsid w:val="0009405E"/>
    <w:rsid w:val="00094146"/>
    <w:rsid w:val="000942A3"/>
    <w:rsid w:val="00094C9F"/>
    <w:rsid w:val="00095020"/>
    <w:rsid w:val="00095296"/>
    <w:rsid w:val="0009599A"/>
    <w:rsid w:val="00095BF7"/>
    <w:rsid w:val="0009612D"/>
    <w:rsid w:val="00096307"/>
    <w:rsid w:val="00096A7D"/>
    <w:rsid w:val="00096A7F"/>
    <w:rsid w:val="00096C13"/>
    <w:rsid w:val="000975D5"/>
    <w:rsid w:val="000976B2"/>
    <w:rsid w:val="000979FE"/>
    <w:rsid w:val="00097A4E"/>
    <w:rsid w:val="00097E0B"/>
    <w:rsid w:val="00097E97"/>
    <w:rsid w:val="00097F35"/>
    <w:rsid w:val="00097FAE"/>
    <w:rsid w:val="000A025E"/>
    <w:rsid w:val="000A03E5"/>
    <w:rsid w:val="000A059F"/>
    <w:rsid w:val="000A0692"/>
    <w:rsid w:val="000A069E"/>
    <w:rsid w:val="000A08FF"/>
    <w:rsid w:val="000A126F"/>
    <w:rsid w:val="000A1424"/>
    <w:rsid w:val="000A1804"/>
    <w:rsid w:val="000A1DAA"/>
    <w:rsid w:val="000A1F88"/>
    <w:rsid w:val="000A2180"/>
    <w:rsid w:val="000A2691"/>
    <w:rsid w:val="000A27A4"/>
    <w:rsid w:val="000A2B4B"/>
    <w:rsid w:val="000A2D6F"/>
    <w:rsid w:val="000A31F2"/>
    <w:rsid w:val="000A3286"/>
    <w:rsid w:val="000A32DD"/>
    <w:rsid w:val="000A3735"/>
    <w:rsid w:val="000A3DF2"/>
    <w:rsid w:val="000A416A"/>
    <w:rsid w:val="000A43B9"/>
    <w:rsid w:val="000A4BC1"/>
    <w:rsid w:val="000A515B"/>
    <w:rsid w:val="000A5200"/>
    <w:rsid w:val="000A543E"/>
    <w:rsid w:val="000A54A4"/>
    <w:rsid w:val="000A54D8"/>
    <w:rsid w:val="000A5618"/>
    <w:rsid w:val="000A5671"/>
    <w:rsid w:val="000A5787"/>
    <w:rsid w:val="000A586D"/>
    <w:rsid w:val="000A58B2"/>
    <w:rsid w:val="000A5C46"/>
    <w:rsid w:val="000A6044"/>
    <w:rsid w:val="000A617B"/>
    <w:rsid w:val="000A6205"/>
    <w:rsid w:val="000A6E91"/>
    <w:rsid w:val="000A70C5"/>
    <w:rsid w:val="000A755D"/>
    <w:rsid w:val="000A7574"/>
    <w:rsid w:val="000A75FA"/>
    <w:rsid w:val="000A7648"/>
    <w:rsid w:val="000A7EE6"/>
    <w:rsid w:val="000B0627"/>
    <w:rsid w:val="000B1300"/>
    <w:rsid w:val="000B188E"/>
    <w:rsid w:val="000B1AF1"/>
    <w:rsid w:val="000B1C9B"/>
    <w:rsid w:val="000B1E68"/>
    <w:rsid w:val="000B2056"/>
    <w:rsid w:val="000B2094"/>
    <w:rsid w:val="000B20F4"/>
    <w:rsid w:val="000B2694"/>
    <w:rsid w:val="000B318A"/>
    <w:rsid w:val="000B31D1"/>
    <w:rsid w:val="000B3E3E"/>
    <w:rsid w:val="000B4489"/>
    <w:rsid w:val="000B46F6"/>
    <w:rsid w:val="000B52AA"/>
    <w:rsid w:val="000B5327"/>
    <w:rsid w:val="000B540B"/>
    <w:rsid w:val="000B5A21"/>
    <w:rsid w:val="000B66F4"/>
    <w:rsid w:val="000B71F7"/>
    <w:rsid w:val="000B739E"/>
    <w:rsid w:val="000B7648"/>
    <w:rsid w:val="000C05CB"/>
    <w:rsid w:val="000C08BB"/>
    <w:rsid w:val="000C0D5D"/>
    <w:rsid w:val="000C1742"/>
    <w:rsid w:val="000C1B5E"/>
    <w:rsid w:val="000C2035"/>
    <w:rsid w:val="000C2599"/>
    <w:rsid w:val="000C31DE"/>
    <w:rsid w:val="000C3280"/>
    <w:rsid w:val="000C3529"/>
    <w:rsid w:val="000C36A5"/>
    <w:rsid w:val="000C3B60"/>
    <w:rsid w:val="000C3B89"/>
    <w:rsid w:val="000C3D9E"/>
    <w:rsid w:val="000C4A37"/>
    <w:rsid w:val="000C4CDF"/>
    <w:rsid w:val="000C540C"/>
    <w:rsid w:val="000C5A1B"/>
    <w:rsid w:val="000C5AC2"/>
    <w:rsid w:val="000C67AD"/>
    <w:rsid w:val="000C7502"/>
    <w:rsid w:val="000C768B"/>
    <w:rsid w:val="000C78FD"/>
    <w:rsid w:val="000C7AE7"/>
    <w:rsid w:val="000D0537"/>
    <w:rsid w:val="000D057F"/>
    <w:rsid w:val="000D0654"/>
    <w:rsid w:val="000D068C"/>
    <w:rsid w:val="000D0795"/>
    <w:rsid w:val="000D07E8"/>
    <w:rsid w:val="000D0E00"/>
    <w:rsid w:val="000D1556"/>
    <w:rsid w:val="000D16C6"/>
    <w:rsid w:val="000D23A3"/>
    <w:rsid w:val="000D2950"/>
    <w:rsid w:val="000D2B73"/>
    <w:rsid w:val="000D2FB5"/>
    <w:rsid w:val="000D34AE"/>
    <w:rsid w:val="000D3746"/>
    <w:rsid w:val="000D484C"/>
    <w:rsid w:val="000D49DE"/>
    <w:rsid w:val="000D4BAB"/>
    <w:rsid w:val="000D5041"/>
    <w:rsid w:val="000D5276"/>
    <w:rsid w:val="000D5521"/>
    <w:rsid w:val="000D5694"/>
    <w:rsid w:val="000D579F"/>
    <w:rsid w:val="000D5A4D"/>
    <w:rsid w:val="000D5AE4"/>
    <w:rsid w:val="000D5C8B"/>
    <w:rsid w:val="000D5D4C"/>
    <w:rsid w:val="000D5DA0"/>
    <w:rsid w:val="000D5E90"/>
    <w:rsid w:val="000D5FD3"/>
    <w:rsid w:val="000D60E6"/>
    <w:rsid w:val="000D6365"/>
    <w:rsid w:val="000D64C8"/>
    <w:rsid w:val="000D672D"/>
    <w:rsid w:val="000D67CC"/>
    <w:rsid w:val="000D691C"/>
    <w:rsid w:val="000D72B3"/>
    <w:rsid w:val="000D74FF"/>
    <w:rsid w:val="000D75DC"/>
    <w:rsid w:val="000D775F"/>
    <w:rsid w:val="000D7A17"/>
    <w:rsid w:val="000D7A42"/>
    <w:rsid w:val="000D7AB8"/>
    <w:rsid w:val="000D7C4E"/>
    <w:rsid w:val="000D7C75"/>
    <w:rsid w:val="000E0071"/>
    <w:rsid w:val="000E0789"/>
    <w:rsid w:val="000E0B59"/>
    <w:rsid w:val="000E0F51"/>
    <w:rsid w:val="000E1080"/>
    <w:rsid w:val="000E1260"/>
    <w:rsid w:val="000E1349"/>
    <w:rsid w:val="000E1718"/>
    <w:rsid w:val="000E21A2"/>
    <w:rsid w:val="000E2B95"/>
    <w:rsid w:val="000E2D83"/>
    <w:rsid w:val="000E300D"/>
    <w:rsid w:val="000E33C6"/>
    <w:rsid w:val="000E3654"/>
    <w:rsid w:val="000E4682"/>
    <w:rsid w:val="000E4AD5"/>
    <w:rsid w:val="000E4C5F"/>
    <w:rsid w:val="000E4DBA"/>
    <w:rsid w:val="000E4F0F"/>
    <w:rsid w:val="000E5188"/>
    <w:rsid w:val="000E5594"/>
    <w:rsid w:val="000E55F7"/>
    <w:rsid w:val="000E5626"/>
    <w:rsid w:val="000E63AF"/>
    <w:rsid w:val="000E684A"/>
    <w:rsid w:val="000E6BB0"/>
    <w:rsid w:val="000E70CE"/>
    <w:rsid w:val="000E76CA"/>
    <w:rsid w:val="000E7C5B"/>
    <w:rsid w:val="000E7D62"/>
    <w:rsid w:val="000F021F"/>
    <w:rsid w:val="000F0666"/>
    <w:rsid w:val="000F0985"/>
    <w:rsid w:val="000F0A3A"/>
    <w:rsid w:val="000F0C5F"/>
    <w:rsid w:val="000F0CFF"/>
    <w:rsid w:val="000F0F19"/>
    <w:rsid w:val="000F1039"/>
    <w:rsid w:val="000F1088"/>
    <w:rsid w:val="000F187D"/>
    <w:rsid w:val="000F1A7C"/>
    <w:rsid w:val="000F1C16"/>
    <w:rsid w:val="000F1CA2"/>
    <w:rsid w:val="000F1ECA"/>
    <w:rsid w:val="000F2587"/>
    <w:rsid w:val="000F28BD"/>
    <w:rsid w:val="000F29E8"/>
    <w:rsid w:val="000F2B42"/>
    <w:rsid w:val="000F30C1"/>
    <w:rsid w:val="000F318C"/>
    <w:rsid w:val="000F3A21"/>
    <w:rsid w:val="000F3A83"/>
    <w:rsid w:val="000F41A6"/>
    <w:rsid w:val="000F434A"/>
    <w:rsid w:val="000F48A8"/>
    <w:rsid w:val="000F4A37"/>
    <w:rsid w:val="000F4DE0"/>
    <w:rsid w:val="000F58F9"/>
    <w:rsid w:val="000F5C00"/>
    <w:rsid w:val="000F5DFA"/>
    <w:rsid w:val="000F64E4"/>
    <w:rsid w:val="000F6711"/>
    <w:rsid w:val="000F672C"/>
    <w:rsid w:val="000F6750"/>
    <w:rsid w:val="000F6840"/>
    <w:rsid w:val="000F6AD3"/>
    <w:rsid w:val="000F6B20"/>
    <w:rsid w:val="000F6EA0"/>
    <w:rsid w:val="000F7199"/>
    <w:rsid w:val="000F71B4"/>
    <w:rsid w:val="000F7643"/>
    <w:rsid w:val="000F79BB"/>
    <w:rsid w:val="000F7A27"/>
    <w:rsid w:val="000F7FD1"/>
    <w:rsid w:val="0010004D"/>
    <w:rsid w:val="001000A8"/>
    <w:rsid w:val="001001A4"/>
    <w:rsid w:val="00100212"/>
    <w:rsid w:val="0010084C"/>
    <w:rsid w:val="00100986"/>
    <w:rsid w:val="00100B2A"/>
    <w:rsid w:val="00100BFA"/>
    <w:rsid w:val="00100D01"/>
    <w:rsid w:val="00100F9E"/>
    <w:rsid w:val="00100FC6"/>
    <w:rsid w:val="00101028"/>
    <w:rsid w:val="001011BD"/>
    <w:rsid w:val="00101601"/>
    <w:rsid w:val="00101608"/>
    <w:rsid w:val="0010174C"/>
    <w:rsid w:val="0010196A"/>
    <w:rsid w:val="00101BC7"/>
    <w:rsid w:val="001024D3"/>
    <w:rsid w:val="001029E0"/>
    <w:rsid w:val="00102A7C"/>
    <w:rsid w:val="00102E88"/>
    <w:rsid w:val="00103102"/>
    <w:rsid w:val="0010337A"/>
    <w:rsid w:val="0010388C"/>
    <w:rsid w:val="00103AD7"/>
    <w:rsid w:val="001041A5"/>
    <w:rsid w:val="00104F85"/>
    <w:rsid w:val="0010507E"/>
    <w:rsid w:val="001055F8"/>
    <w:rsid w:val="00105986"/>
    <w:rsid w:val="00105B5B"/>
    <w:rsid w:val="00105FFB"/>
    <w:rsid w:val="00106120"/>
    <w:rsid w:val="00106351"/>
    <w:rsid w:val="00106383"/>
    <w:rsid w:val="00106754"/>
    <w:rsid w:val="00106F9F"/>
    <w:rsid w:val="00106FC1"/>
    <w:rsid w:val="0010750F"/>
    <w:rsid w:val="00107DBA"/>
    <w:rsid w:val="00107E9F"/>
    <w:rsid w:val="00110412"/>
    <w:rsid w:val="0011047B"/>
    <w:rsid w:val="001104D5"/>
    <w:rsid w:val="001106FC"/>
    <w:rsid w:val="00110700"/>
    <w:rsid w:val="0011071A"/>
    <w:rsid w:val="00110896"/>
    <w:rsid w:val="00110B12"/>
    <w:rsid w:val="00110DCF"/>
    <w:rsid w:val="00111329"/>
    <w:rsid w:val="001114BA"/>
    <w:rsid w:val="0011166B"/>
    <w:rsid w:val="00111BB6"/>
    <w:rsid w:val="00112162"/>
    <w:rsid w:val="001121BA"/>
    <w:rsid w:val="001121DF"/>
    <w:rsid w:val="00112D4F"/>
    <w:rsid w:val="00112EE4"/>
    <w:rsid w:val="0011308C"/>
    <w:rsid w:val="001134D4"/>
    <w:rsid w:val="0011355F"/>
    <w:rsid w:val="0011375B"/>
    <w:rsid w:val="00113A0A"/>
    <w:rsid w:val="00114038"/>
    <w:rsid w:val="00114679"/>
    <w:rsid w:val="001151CE"/>
    <w:rsid w:val="0011583C"/>
    <w:rsid w:val="00115CA7"/>
    <w:rsid w:val="00115DE9"/>
    <w:rsid w:val="001160DF"/>
    <w:rsid w:val="001160F1"/>
    <w:rsid w:val="001162F1"/>
    <w:rsid w:val="0011637D"/>
    <w:rsid w:val="00117085"/>
    <w:rsid w:val="0011713B"/>
    <w:rsid w:val="0011731E"/>
    <w:rsid w:val="00117B87"/>
    <w:rsid w:val="00117D85"/>
    <w:rsid w:val="00120379"/>
    <w:rsid w:val="001205F8"/>
    <w:rsid w:val="00120874"/>
    <w:rsid w:val="00120891"/>
    <w:rsid w:val="00120A03"/>
    <w:rsid w:val="00120BA8"/>
    <w:rsid w:val="00121043"/>
    <w:rsid w:val="00121A10"/>
    <w:rsid w:val="00121ADF"/>
    <w:rsid w:val="00121C5C"/>
    <w:rsid w:val="00121C6D"/>
    <w:rsid w:val="00121E52"/>
    <w:rsid w:val="001226B5"/>
    <w:rsid w:val="001227C5"/>
    <w:rsid w:val="00122C72"/>
    <w:rsid w:val="00122F96"/>
    <w:rsid w:val="001230C2"/>
    <w:rsid w:val="001231BF"/>
    <w:rsid w:val="00123328"/>
    <w:rsid w:val="001235E4"/>
    <w:rsid w:val="001238EF"/>
    <w:rsid w:val="00123937"/>
    <w:rsid w:val="00123BC6"/>
    <w:rsid w:val="001240F9"/>
    <w:rsid w:val="00124763"/>
    <w:rsid w:val="001248F1"/>
    <w:rsid w:val="00124BAE"/>
    <w:rsid w:val="00125371"/>
    <w:rsid w:val="001257D0"/>
    <w:rsid w:val="00125D78"/>
    <w:rsid w:val="00125E15"/>
    <w:rsid w:val="00125FEF"/>
    <w:rsid w:val="00126153"/>
    <w:rsid w:val="0012615B"/>
    <w:rsid w:val="001265EA"/>
    <w:rsid w:val="00126722"/>
    <w:rsid w:val="00126ABF"/>
    <w:rsid w:val="00126E5F"/>
    <w:rsid w:val="001270CE"/>
    <w:rsid w:val="0012730C"/>
    <w:rsid w:val="00127CB2"/>
    <w:rsid w:val="00130119"/>
    <w:rsid w:val="0013039E"/>
    <w:rsid w:val="00130463"/>
    <w:rsid w:val="001305C5"/>
    <w:rsid w:val="0013063C"/>
    <w:rsid w:val="00130671"/>
    <w:rsid w:val="00130EA9"/>
    <w:rsid w:val="00131469"/>
    <w:rsid w:val="001317E4"/>
    <w:rsid w:val="00131C07"/>
    <w:rsid w:val="00131CF4"/>
    <w:rsid w:val="00131DB5"/>
    <w:rsid w:val="00131FED"/>
    <w:rsid w:val="001321D6"/>
    <w:rsid w:val="0013224C"/>
    <w:rsid w:val="001327D1"/>
    <w:rsid w:val="00132C69"/>
    <w:rsid w:val="001331AF"/>
    <w:rsid w:val="00133304"/>
    <w:rsid w:val="001333A5"/>
    <w:rsid w:val="00133907"/>
    <w:rsid w:val="00133D2B"/>
    <w:rsid w:val="00134082"/>
    <w:rsid w:val="00134221"/>
    <w:rsid w:val="001347FC"/>
    <w:rsid w:val="00134B7D"/>
    <w:rsid w:val="00134E78"/>
    <w:rsid w:val="00134F74"/>
    <w:rsid w:val="00134F83"/>
    <w:rsid w:val="00135213"/>
    <w:rsid w:val="00136506"/>
    <w:rsid w:val="001366B2"/>
    <w:rsid w:val="001367AE"/>
    <w:rsid w:val="00136878"/>
    <w:rsid w:val="00136A6F"/>
    <w:rsid w:val="00136C66"/>
    <w:rsid w:val="001370D8"/>
    <w:rsid w:val="00137160"/>
    <w:rsid w:val="00137536"/>
    <w:rsid w:val="00137867"/>
    <w:rsid w:val="0013793B"/>
    <w:rsid w:val="00137FA0"/>
    <w:rsid w:val="001407F8"/>
    <w:rsid w:val="00140F77"/>
    <w:rsid w:val="0014196E"/>
    <w:rsid w:val="00141ABB"/>
    <w:rsid w:val="001424DA"/>
    <w:rsid w:val="0014277A"/>
    <w:rsid w:val="00142B71"/>
    <w:rsid w:val="00142F7C"/>
    <w:rsid w:val="001431C9"/>
    <w:rsid w:val="00143405"/>
    <w:rsid w:val="00143521"/>
    <w:rsid w:val="00143F0A"/>
    <w:rsid w:val="0014415A"/>
    <w:rsid w:val="00144299"/>
    <w:rsid w:val="001442F6"/>
    <w:rsid w:val="001445CD"/>
    <w:rsid w:val="001445E3"/>
    <w:rsid w:val="001447CF"/>
    <w:rsid w:val="00144DC2"/>
    <w:rsid w:val="00145081"/>
    <w:rsid w:val="001451B0"/>
    <w:rsid w:val="001458F0"/>
    <w:rsid w:val="00145D4A"/>
    <w:rsid w:val="00146060"/>
    <w:rsid w:val="00146405"/>
    <w:rsid w:val="001464B7"/>
    <w:rsid w:val="0014683A"/>
    <w:rsid w:val="00147202"/>
    <w:rsid w:val="0014721C"/>
    <w:rsid w:val="0014787C"/>
    <w:rsid w:val="00147935"/>
    <w:rsid w:val="00147D33"/>
    <w:rsid w:val="0015014D"/>
    <w:rsid w:val="0015033F"/>
    <w:rsid w:val="001504B9"/>
    <w:rsid w:val="0015092C"/>
    <w:rsid w:val="00151135"/>
    <w:rsid w:val="0015131B"/>
    <w:rsid w:val="0015138B"/>
    <w:rsid w:val="0015151D"/>
    <w:rsid w:val="00151931"/>
    <w:rsid w:val="00151A6A"/>
    <w:rsid w:val="00151C30"/>
    <w:rsid w:val="00152116"/>
    <w:rsid w:val="0015226F"/>
    <w:rsid w:val="00152795"/>
    <w:rsid w:val="001529F3"/>
    <w:rsid w:val="00152A27"/>
    <w:rsid w:val="00152AEC"/>
    <w:rsid w:val="00153226"/>
    <w:rsid w:val="00153422"/>
    <w:rsid w:val="00153B45"/>
    <w:rsid w:val="001548F1"/>
    <w:rsid w:val="00154E11"/>
    <w:rsid w:val="00154E86"/>
    <w:rsid w:val="00154ED3"/>
    <w:rsid w:val="001550FB"/>
    <w:rsid w:val="0015518D"/>
    <w:rsid w:val="001551D1"/>
    <w:rsid w:val="00155554"/>
    <w:rsid w:val="001556EF"/>
    <w:rsid w:val="001558EC"/>
    <w:rsid w:val="00155B4C"/>
    <w:rsid w:val="00155BA7"/>
    <w:rsid w:val="00155BFD"/>
    <w:rsid w:val="00155D56"/>
    <w:rsid w:val="00155F85"/>
    <w:rsid w:val="00156042"/>
    <w:rsid w:val="00156150"/>
    <w:rsid w:val="0015642C"/>
    <w:rsid w:val="0015659F"/>
    <w:rsid w:val="001566AF"/>
    <w:rsid w:val="00156B4B"/>
    <w:rsid w:val="00156C97"/>
    <w:rsid w:val="00156D3A"/>
    <w:rsid w:val="0015723E"/>
    <w:rsid w:val="00157365"/>
    <w:rsid w:val="0015779F"/>
    <w:rsid w:val="00157959"/>
    <w:rsid w:val="00157AB1"/>
    <w:rsid w:val="00157CFF"/>
    <w:rsid w:val="00160147"/>
    <w:rsid w:val="001601EC"/>
    <w:rsid w:val="0016138E"/>
    <w:rsid w:val="00161D3D"/>
    <w:rsid w:val="00161DDD"/>
    <w:rsid w:val="00161DF3"/>
    <w:rsid w:val="001623B2"/>
    <w:rsid w:val="00162543"/>
    <w:rsid w:val="001629D3"/>
    <w:rsid w:val="00162D70"/>
    <w:rsid w:val="00162F9F"/>
    <w:rsid w:val="0016309D"/>
    <w:rsid w:val="001631E4"/>
    <w:rsid w:val="00163561"/>
    <w:rsid w:val="001638F3"/>
    <w:rsid w:val="00163D47"/>
    <w:rsid w:val="0016445B"/>
    <w:rsid w:val="001647C1"/>
    <w:rsid w:val="001647F6"/>
    <w:rsid w:val="00164949"/>
    <w:rsid w:val="001649F1"/>
    <w:rsid w:val="00165065"/>
    <w:rsid w:val="00165163"/>
    <w:rsid w:val="001653DA"/>
    <w:rsid w:val="001654CA"/>
    <w:rsid w:val="001658D0"/>
    <w:rsid w:val="00165C1D"/>
    <w:rsid w:val="00165CEA"/>
    <w:rsid w:val="00165DA6"/>
    <w:rsid w:val="00165FEA"/>
    <w:rsid w:val="001661CC"/>
    <w:rsid w:val="00166388"/>
    <w:rsid w:val="001665BD"/>
    <w:rsid w:val="00166B3F"/>
    <w:rsid w:val="00166B44"/>
    <w:rsid w:val="00166BAB"/>
    <w:rsid w:val="00166CCD"/>
    <w:rsid w:val="00166D51"/>
    <w:rsid w:val="0016739B"/>
    <w:rsid w:val="0016760B"/>
    <w:rsid w:val="00167668"/>
    <w:rsid w:val="00167923"/>
    <w:rsid w:val="00167996"/>
    <w:rsid w:val="00167C19"/>
    <w:rsid w:val="00167DFA"/>
    <w:rsid w:val="001700A4"/>
    <w:rsid w:val="001700DB"/>
    <w:rsid w:val="00170305"/>
    <w:rsid w:val="0017031C"/>
    <w:rsid w:val="00170347"/>
    <w:rsid w:val="00170719"/>
    <w:rsid w:val="00170862"/>
    <w:rsid w:val="001709F7"/>
    <w:rsid w:val="00170AD2"/>
    <w:rsid w:val="00170AFC"/>
    <w:rsid w:val="00171501"/>
    <w:rsid w:val="00171858"/>
    <w:rsid w:val="00171B30"/>
    <w:rsid w:val="00171EA0"/>
    <w:rsid w:val="001721BB"/>
    <w:rsid w:val="00172843"/>
    <w:rsid w:val="00172861"/>
    <w:rsid w:val="00172A28"/>
    <w:rsid w:val="00172DED"/>
    <w:rsid w:val="00173C2F"/>
    <w:rsid w:val="00174343"/>
    <w:rsid w:val="00174650"/>
    <w:rsid w:val="001747CF"/>
    <w:rsid w:val="00174B7C"/>
    <w:rsid w:val="00174FB5"/>
    <w:rsid w:val="0017507A"/>
    <w:rsid w:val="001750C2"/>
    <w:rsid w:val="001751FF"/>
    <w:rsid w:val="00175711"/>
    <w:rsid w:val="00175792"/>
    <w:rsid w:val="00175A41"/>
    <w:rsid w:val="00175ABB"/>
    <w:rsid w:val="00175C74"/>
    <w:rsid w:val="00175D66"/>
    <w:rsid w:val="00175FE0"/>
    <w:rsid w:val="001761EA"/>
    <w:rsid w:val="0017648D"/>
    <w:rsid w:val="00176633"/>
    <w:rsid w:val="001768C3"/>
    <w:rsid w:val="00176CED"/>
    <w:rsid w:val="00176D32"/>
    <w:rsid w:val="00176E82"/>
    <w:rsid w:val="00176F3C"/>
    <w:rsid w:val="00177803"/>
    <w:rsid w:val="001778CE"/>
    <w:rsid w:val="00177C4B"/>
    <w:rsid w:val="00180766"/>
    <w:rsid w:val="001811E8"/>
    <w:rsid w:val="00181733"/>
    <w:rsid w:val="001817AA"/>
    <w:rsid w:val="00181A9B"/>
    <w:rsid w:val="00181C4D"/>
    <w:rsid w:val="00181DBF"/>
    <w:rsid w:val="00182586"/>
    <w:rsid w:val="00182984"/>
    <w:rsid w:val="00182A71"/>
    <w:rsid w:val="00182BE4"/>
    <w:rsid w:val="00182C78"/>
    <w:rsid w:val="00182E91"/>
    <w:rsid w:val="00182EC3"/>
    <w:rsid w:val="001835C6"/>
    <w:rsid w:val="00183948"/>
    <w:rsid w:val="00183E0E"/>
    <w:rsid w:val="0018414A"/>
    <w:rsid w:val="001841AF"/>
    <w:rsid w:val="00184462"/>
    <w:rsid w:val="001845D7"/>
    <w:rsid w:val="00184604"/>
    <w:rsid w:val="0018463C"/>
    <w:rsid w:val="001846F2"/>
    <w:rsid w:val="001848B2"/>
    <w:rsid w:val="00184AB4"/>
    <w:rsid w:val="00184AE6"/>
    <w:rsid w:val="001853D8"/>
    <w:rsid w:val="001857A0"/>
    <w:rsid w:val="00185BAA"/>
    <w:rsid w:val="00185BB1"/>
    <w:rsid w:val="00186293"/>
    <w:rsid w:val="001866BC"/>
    <w:rsid w:val="00186BBA"/>
    <w:rsid w:val="00186C1F"/>
    <w:rsid w:val="00187034"/>
    <w:rsid w:val="0018716A"/>
    <w:rsid w:val="001872C8"/>
    <w:rsid w:val="00190549"/>
    <w:rsid w:val="001905B0"/>
    <w:rsid w:val="00190B1A"/>
    <w:rsid w:val="00191588"/>
    <w:rsid w:val="001918AE"/>
    <w:rsid w:val="001919F8"/>
    <w:rsid w:val="00191E63"/>
    <w:rsid w:val="00191EB1"/>
    <w:rsid w:val="001923C1"/>
    <w:rsid w:val="00192CE7"/>
    <w:rsid w:val="001932CF"/>
    <w:rsid w:val="001932D1"/>
    <w:rsid w:val="001935EC"/>
    <w:rsid w:val="00193C51"/>
    <w:rsid w:val="00194193"/>
    <w:rsid w:val="0019445A"/>
    <w:rsid w:val="0019455D"/>
    <w:rsid w:val="00194C41"/>
    <w:rsid w:val="00194EE9"/>
    <w:rsid w:val="0019510E"/>
    <w:rsid w:val="00195814"/>
    <w:rsid w:val="00195896"/>
    <w:rsid w:val="00195B1E"/>
    <w:rsid w:val="00195C80"/>
    <w:rsid w:val="00195F59"/>
    <w:rsid w:val="0019616B"/>
    <w:rsid w:val="001964E1"/>
    <w:rsid w:val="001965A8"/>
    <w:rsid w:val="001969C0"/>
    <w:rsid w:val="00196B86"/>
    <w:rsid w:val="00196D35"/>
    <w:rsid w:val="00196D55"/>
    <w:rsid w:val="00196DD2"/>
    <w:rsid w:val="001972A9"/>
    <w:rsid w:val="00197D5F"/>
    <w:rsid w:val="00197F66"/>
    <w:rsid w:val="001A0257"/>
    <w:rsid w:val="001A05F1"/>
    <w:rsid w:val="001A0DDE"/>
    <w:rsid w:val="001A10F2"/>
    <w:rsid w:val="001A18E7"/>
    <w:rsid w:val="001A25C0"/>
    <w:rsid w:val="001A25E8"/>
    <w:rsid w:val="001A2802"/>
    <w:rsid w:val="001A38BF"/>
    <w:rsid w:val="001A3989"/>
    <w:rsid w:val="001A41C1"/>
    <w:rsid w:val="001A46ED"/>
    <w:rsid w:val="001A49DB"/>
    <w:rsid w:val="001A4EC6"/>
    <w:rsid w:val="001A4F33"/>
    <w:rsid w:val="001A5380"/>
    <w:rsid w:val="001A546A"/>
    <w:rsid w:val="001A5A03"/>
    <w:rsid w:val="001A5C3A"/>
    <w:rsid w:val="001A5CCC"/>
    <w:rsid w:val="001A5E91"/>
    <w:rsid w:val="001A5F16"/>
    <w:rsid w:val="001A6455"/>
    <w:rsid w:val="001A69AF"/>
    <w:rsid w:val="001A6CFC"/>
    <w:rsid w:val="001A78EB"/>
    <w:rsid w:val="001A7B90"/>
    <w:rsid w:val="001A7CEF"/>
    <w:rsid w:val="001A7D06"/>
    <w:rsid w:val="001B0008"/>
    <w:rsid w:val="001B012A"/>
    <w:rsid w:val="001B02D6"/>
    <w:rsid w:val="001B02EA"/>
    <w:rsid w:val="001B068D"/>
    <w:rsid w:val="001B07F5"/>
    <w:rsid w:val="001B08AC"/>
    <w:rsid w:val="001B0C06"/>
    <w:rsid w:val="001B0F75"/>
    <w:rsid w:val="001B1278"/>
    <w:rsid w:val="001B1FFE"/>
    <w:rsid w:val="001B2046"/>
    <w:rsid w:val="001B240B"/>
    <w:rsid w:val="001B2501"/>
    <w:rsid w:val="001B27EB"/>
    <w:rsid w:val="001B2941"/>
    <w:rsid w:val="001B2954"/>
    <w:rsid w:val="001B2DB8"/>
    <w:rsid w:val="001B3115"/>
    <w:rsid w:val="001B358E"/>
    <w:rsid w:val="001B3C8D"/>
    <w:rsid w:val="001B400B"/>
    <w:rsid w:val="001B4385"/>
    <w:rsid w:val="001B43A4"/>
    <w:rsid w:val="001B490A"/>
    <w:rsid w:val="001B4916"/>
    <w:rsid w:val="001B4A00"/>
    <w:rsid w:val="001B56A0"/>
    <w:rsid w:val="001B5BD9"/>
    <w:rsid w:val="001B6468"/>
    <w:rsid w:val="001B65A6"/>
    <w:rsid w:val="001B65E4"/>
    <w:rsid w:val="001B6C09"/>
    <w:rsid w:val="001B6F9C"/>
    <w:rsid w:val="001B7054"/>
    <w:rsid w:val="001B71D2"/>
    <w:rsid w:val="001B7301"/>
    <w:rsid w:val="001B751D"/>
    <w:rsid w:val="001B78F5"/>
    <w:rsid w:val="001B790F"/>
    <w:rsid w:val="001B7B1A"/>
    <w:rsid w:val="001B7C3E"/>
    <w:rsid w:val="001B7C4C"/>
    <w:rsid w:val="001C0034"/>
    <w:rsid w:val="001C00C5"/>
    <w:rsid w:val="001C0342"/>
    <w:rsid w:val="001C0861"/>
    <w:rsid w:val="001C0CF7"/>
    <w:rsid w:val="001C0DE8"/>
    <w:rsid w:val="001C0E24"/>
    <w:rsid w:val="001C0F14"/>
    <w:rsid w:val="001C0FD2"/>
    <w:rsid w:val="001C0FD6"/>
    <w:rsid w:val="001C0FD9"/>
    <w:rsid w:val="001C1025"/>
    <w:rsid w:val="001C1346"/>
    <w:rsid w:val="001C1791"/>
    <w:rsid w:val="001C209E"/>
    <w:rsid w:val="001C214E"/>
    <w:rsid w:val="001C2316"/>
    <w:rsid w:val="001C2537"/>
    <w:rsid w:val="001C260A"/>
    <w:rsid w:val="001C266D"/>
    <w:rsid w:val="001C304F"/>
    <w:rsid w:val="001C31B0"/>
    <w:rsid w:val="001C3244"/>
    <w:rsid w:val="001C3513"/>
    <w:rsid w:val="001C379B"/>
    <w:rsid w:val="001C38A1"/>
    <w:rsid w:val="001C39CB"/>
    <w:rsid w:val="001C3A76"/>
    <w:rsid w:val="001C3AD3"/>
    <w:rsid w:val="001C3BEF"/>
    <w:rsid w:val="001C4185"/>
    <w:rsid w:val="001C4CA4"/>
    <w:rsid w:val="001C4CE2"/>
    <w:rsid w:val="001C5197"/>
    <w:rsid w:val="001C563F"/>
    <w:rsid w:val="001C5927"/>
    <w:rsid w:val="001C5AAE"/>
    <w:rsid w:val="001C5B8E"/>
    <w:rsid w:val="001C62AB"/>
    <w:rsid w:val="001C6A9A"/>
    <w:rsid w:val="001C7C69"/>
    <w:rsid w:val="001C7D8C"/>
    <w:rsid w:val="001D013C"/>
    <w:rsid w:val="001D01A8"/>
    <w:rsid w:val="001D0978"/>
    <w:rsid w:val="001D1537"/>
    <w:rsid w:val="001D1644"/>
    <w:rsid w:val="001D2156"/>
    <w:rsid w:val="001D2212"/>
    <w:rsid w:val="001D2AB5"/>
    <w:rsid w:val="001D32B2"/>
    <w:rsid w:val="001D33D9"/>
    <w:rsid w:val="001D350A"/>
    <w:rsid w:val="001D3891"/>
    <w:rsid w:val="001D3C3F"/>
    <w:rsid w:val="001D3F43"/>
    <w:rsid w:val="001D4866"/>
    <w:rsid w:val="001D4936"/>
    <w:rsid w:val="001D4CC9"/>
    <w:rsid w:val="001D4E00"/>
    <w:rsid w:val="001D5ABA"/>
    <w:rsid w:val="001D5D2E"/>
    <w:rsid w:val="001D6AE4"/>
    <w:rsid w:val="001D6BB7"/>
    <w:rsid w:val="001D6F37"/>
    <w:rsid w:val="001D711A"/>
    <w:rsid w:val="001D74CD"/>
    <w:rsid w:val="001D753C"/>
    <w:rsid w:val="001D791C"/>
    <w:rsid w:val="001D7E83"/>
    <w:rsid w:val="001D7EB4"/>
    <w:rsid w:val="001E0111"/>
    <w:rsid w:val="001E03A6"/>
    <w:rsid w:val="001E03F7"/>
    <w:rsid w:val="001E0608"/>
    <w:rsid w:val="001E09E7"/>
    <w:rsid w:val="001E0E88"/>
    <w:rsid w:val="001E1638"/>
    <w:rsid w:val="001E2440"/>
    <w:rsid w:val="001E2A90"/>
    <w:rsid w:val="001E2DAC"/>
    <w:rsid w:val="001E32E5"/>
    <w:rsid w:val="001E3833"/>
    <w:rsid w:val="001E3985"/>
    <w:rsid w:val="001E3EA0"/>
    <w:rsid w:val="001E416C"/>
    <w:rsid w:val="001E43BA"/>
    <w:rsid w:val="001E440B"/>
    <w:rsid w:val="001E44A6"/>
    <w:rsid w:val="001E4A2B"/>
    <w:rsid w:val="001E4C1C"/>
    <w:rsid w:val="001E4EF2"/>
    <w:rsid w:val="001E4FE1"/>
    <w:rsid w:val="001E5109"/>
    <w:rsid w:val="001E5561"/>
    <w:rsid w:val="001E578D"/>
    <w:rsid w:val="001E578F"/>
    <w:rsid w:val="001E5B7F"/>
    <w:rsid w:val="001E5DC9"/>
    <w:rsid w:val="001E61E1"/>
    <w:rsid w:val="001E6271"/>
    <w:rsid w:val="001E64CE"/>
    <w:rsid w:val="001E65F6"/>
    <w:rsid w:val="001E66EA"/>
    <w:rsid w:val="001E691C"/>
    <w:rsid w:val="001E69A8"/>
    <w:rsid w:val="001E6BCE"/>
    <w:rsid w:val="001E6CF3"/>
    <w:rsid w:val="001E6F06"/>
    <w:rsid w:val="001E765F"/>
    <w:rsid w:val="001E7674"/>
    <w:rsid w:val="001E76FF"/>
    <w:rsid w:val="001E7D78"/>
    <w:rsid w:val="001F139F"/>
    <w:rsid w:val="001F1519"/>
    <w:rsid w:val="001F16A1"/>
    <w:rsid w:val="001F19C6"/>
    <w:rsid w:val="001F1B20"/>
    <w:rsid w:val="001F1C7F"/>
    <w:rsid w:val="001F1DCA"/>
    <w:rsid w:val="001F1F4A"/>
    <w:rsid w:val="001F1FC9"/>
    <w:rsid w:val="001F2B94"/>
    <w:rsid w:val="001F2BD5"/>
    <w:rsid w:val="001F3497"/>
    <w:rsid w:val="001F3995"/>
    <w:rsid w:val="001F3D85"/>
    <w:rsid w:val="001F42DA"/>
    <w:rsid w:val="001F4361"/>
    <w:rsid w:val="001F48CF"/>
    <w:rsid w:val="001F4A5E"/>
    <w:rsid w:val="001F4E0E"/>
    <w:rsid w:val="001F5033"/>
    <w:rsid w:val="001F50ED"/>
    <w:rsid w:val="001F50FA"/>
    <w:rsid w:val="001F541D"/>
    <w:rsid w:val="001F55CB"/>
    <w:rsid w:val="001F575D"/>
    <w:rsid w:val="001F578D"/>
    <w:rsid w:val="001F589D"/>
    <w:rsid w:val="001F5B4E"/>
    <w:rsid w:val="001F5BA9"/>
    <w:rsid w:val="001F5F1D"/>
    <w:rsid w:val="001F6151"/>
    <w:rsid w:val="001F6182"/>
    <w:rsid w:val="001F66AE"/>
    <w:rsid w:val="001F693C"/>
    <w:rsid w:val="001F6CED"/>
    <w:rsid w:val="001F6ED6"/>
    <w:rsid w:val="001F6F3C"/>
    <w:rsid w:val="001F7002"/>
    <w:rsid w:val="001F7199"/>
    <w:rsid w:val="001F7462"/>
    <w:rsid w:val="001F7695"/>
    <w:rsid w:val="001F77AF"/>
    <w:rsid w:val="001F7AAA"/>
    <w:rsid w:val="002004C8"/>
    <w:rsid w:val="0020066F"/>
    <w:rsid w:val="00200C97"/>
    <w:rsid w:val="00200E2B"/>
    <w:rsid w:val="00200FA9"/>
    <w:rsid w:val="0020108E"/>
    <w:rsid w:val="00201835"/>
    <w:rsid w:val="00201E5E"/>
    <w:rsid w:val="00202138"/>
    <w:rsid w:val="002021C7"/>
    <w:rsid w:val="0020260B"/>
    <w:rsid w:val="002026A4"/>
    <w:rsid w:val="00202724"/>
    <w:rsid w:val="00202A49"/>
    <w:rsid w:val="00202E08"/>
    <w:rsid w:val="00202EBF"/>
    <w:rsid w:val="0020307F"/>
    <w:rsid w:val="0020374E"/>
    <w:rsid w:val="0020392C"/>
    <w:rsid w:val="00203E60"/>
    <w:rsid w:val="00204283"/>
    <w:rsid w:val="00204A26"/>
    <w:rsid w:val="00204A5F"/>
    <w:rsid w:val="00204CC8"/>
    <w:rsid w:val="00204DAE"/>
    <w:rsid w:val="002051F0"/>
    <w:rsid w:val="00205480"/>
    <w:rsid w:val="002056ED"/>
    <w:rsid w:val="00205B69"/>
    <w:rsid w:val="00206272"/>
    <w:rsid w:val="00206464"/>
    <w:rsid w:val="00206773"/>
    <w:rsid w:val="0020681E"/>
    <w:rsid w:val="00206BA2"/>
    <w:rsid w:val="00207030"/>
    <w:rsid w:val="0020748D"/>
    <w:rsid w:val="00207668"/>
    <w:rsid w:val="00207999"/>
    <w:rsid w:val="00207D16"/>
    <w:rsid w:val="00207DBE"/>
    <w:rsid w:val="00210100"/>
    <w:rsid w:val="0021014F"/>
    <w:rsid w:val="002102F8"/>
    <w:rsid w:val="002106AC"/>
    <w:rsid w:val="00210A6E"/>
    <w:rsid w:val="00210F8B"/>
    <w:rsid w:val="00210FE4"/>
    <w:rsid w:val="00211048"/>
    <w:rsid w:val="00211396"/>
    <w:rsid w:val="002113D6"/>
    <w:rsid w:val="00211889"/>
    <w:rsid w:val="002118E9"/>
    <w:rsid w:val="00211B7D"/>
    <w:rsid w:val="00212089"/>
    <w:rsid w:val="00212118"/>
    <w:rsid w:val="00212D7A"/>
    <w:rsid w:val="00213056"/>
    <w:rsid w:val="002133B7"/>
    <w:rsid w:val="00213603"/>
    <w:rsid w:val="00213633"/>
    <w:rsid w:val="002136A9"/>
    <w:rsid w:val="00213CE4"/>
    <w:rsid w:val="002146EC"/>
    <w:rsid w:val="002149B7"/>
    <w:rsid w:val="00214B22"/>
    <w:rsid w:val="00214B90"/>
    <w:rsid w:val="00214BD8"/>
    <w:rsid w:val="00214F4C"/>
    <w:rsid w:val="00215113"/>
    <w:rsid w:val="002151B9"/>
    <w:rsid w:val="00215261"/>
    <w:rsid w:val="00215454"/>
    <w:rsid w:val="00215469"/>
    <w:rsid w:val="002154D3"/>
    <w:rsid w:val="00215E2C"/>
    <w:rsid w:val="002167B2"/>
    <w:rsid w:val="0021683E"/>
    <w:rsid w:val="002168EF"/>
    <w:rsid w:val="002168FD"/>
    <w:rsid w:val="00216ADD"/>
    <w:rsid w:val="00217005"/>
    <w:rsid w:val="00217136"/>
    <w:rsid w:val="00217ADF"/>
    <w:rsid w:val="00217C41"/>
    <w:rsid w:val="00217F8F"/>
    <w:rsid w:val="00220036"/>
    <w:rsid w:val="002200FF"/>
    <w:rsid w:val="0022018F"/>
    <w:rsid w:val="00220284"/>
    <w:rsid w:val="0022045B"/>
    <w:rsid w:val="002205DA"/>
    <w:rsid w:val="00220659"/>
    <w:rsid w:val="002207EC"/>
    <w:rsid w:val="00220805"/>
    <w:rsid w:val="0022096D"/>
    <w:rsid w:val="00220A1B"/>
    <w:rsid w:val="00220F24"/>
    <w:rsid w:val="00221145"/>
    <w:rsid w:val="0022114A"/>
    <w:rsid w:val="002211F1"/>
    <w:rsid w:val="0022146A"/>
    <w:rsid w:val="00221C41"/>
    <w:rsid w:val="00221DA1"/>
    <w:rsid w:val="002222AC"/>
    <w:rsid w:val="002225AF"/>
    <w:rsid w:val="00222877"/>
    <w:rsid w:val="002228A9"/>
    <w:rsid w:val="00222901"/>
    <w:rsid w:val="00222A5D"/>
    <w:rsid w:val="00223016"/>
    <w:rsid w:val="002234A4"/>
    <w:rsid w:val="002234B8"/>
    <w:rsid w:val="002236EA"/>
    <w:rsid w:val="00223A23"/>
    <w:rsid w:val="00223C42"/>
    <w:rsid w:val="00223C7F"/>
    <w:rsid w:val="00223D39"/>
    <w:rsid w:val="002241A1"/>
    <w:rsid w:val="0022444D"/>
    <w:rsid w:val="00224619"/>
    <w:rsid w:val="00224A52"/>
    <w:rsid w:val="00224C1E"/>
    <w:rsid w:val="00224E48"/>
    <w:rsid w:val="00225734"/>
    <w:rsid w:val="002274B3"/>
    <w:rsid w:val="00227500"/>
    <w:rsid w:val="00227A8B"/>
    <w:rsid w:val="00227D85"/>
    <w:rsid w:val="00230383"/>
    <w:rsid w:val="0023054D"/>
    <w:rsid w:val="00231261"/>
    <w:rsid w:val="002313D2"/>
    <w:rsid w:val="00231489"/>
    <w:rsid w:val="0023155C"/>
    <w:rsid w:val="002320CD"/>
    <w:rsid w:val="0023216A"/>
    <w:rsid w:val="0023216B"/>
    <w:rsid w:val="002324EE"/>
    <w:rsid w:val="002325FA"/>
    <w:rsid w:val="00232717"/>
    <w:rsid w:val="002328A3"/>
    <w:rsid w:val="00232B99"/>
    <w:rsid w:val="002335E5"/>
    <w:rsid w:val="002339B8"/>
    <w:rsid w:val="00233C1C"/>
    <w:rsid w:val="00233F89"/>
    <w:rsid w:val="00234096"/>
    <w:rsid w:val="00234274"/>
    <w:rsid w:val="002345BD"/>
    <w:rsid w:val="00235133"/>
    <w:rsid w:val="002352DB"/>
    <w:rsid w:val="002352DC"/>
    <w:rsid w:val="00235416"/>
    <w:rsid w:val="0023550D"/>
    <w:rsid w:val="00235714"/>
    <w:rsid w:val="002358C5"/>
    <w:rsid w:val="00235AAF"/>
    <w:rsid w:val="00235CEC"/>
    <w:rsid w:val="00236489"/>
    <w:rsid w:val="0023669F"/>
    <w:rsid w:val="00236E1F"/>
    <w:rsid w:val="00236FDF"/>
    <w:rsid w:val="002374AE"/>
    <w:rsid w:val="0023754D"/>
    <w:rsid w:val="00237974"/>
    <w:rsid w:val="00237A51"/>
    <w:rsid w:val="00237B04"/>
    <w:rsid w:val="00237B5D"/>
    <w:rsid w:val="00240174"/>
    <w:rsid w:val="00240553"/>
    <w:rsid w:val="002407D3"/>
    <w:rsid w:val="00240D5C"/>
    <w:rsid w:val="0024163B"/>
    <w:rsid w:val="00241F89"/>
    <w:rsid w:val="002420CF"/>
    <w:rsid w:val="002420D1"/>
    <w:rsid w:val="002420F0"/>
    <w:rsid w:val="002422D7"/>
    <w:rsid w:val="002427E5"/>
    <w:rsid w:val="00242882"/>
    <w:rsid w:val="00242A3C"/>
    <w:rsid w:val="002430C3"/>
    <w:rsid w:val="002438C8"/>
    <w:rsid w:val="00243AF1"/>
    <w:rsid w:val="00243CB3"/>
    <w:rsid w:val="00243FA6"/>
    <w:rsid w:val="002440EC"/>
    <w:rsid w:val="00244AE9"/>
    <w:rsid w:val="00244B12"/>
    <w:rsid w:val="00244CDE"/>
    <w:rsid w:val="00244D6E"/>
    <w:rsid w:val="00245CEE"/>
    <w:rsid w:val="00245D27"/>
    <w:rsid w:val="0024678B"/>
    <w:rsid w:val="00246949"/>
    <w:rsid w:val="0024694A"/>
    <w:rsid w:val="00246A68"/>
    <w:rsid w:val="0024734E"/>
    <w:rsid w:val="002474CB"/>
    <w:rsid w:val="0024767F"/>
    <w:rsid w:val="002479FE"/>
    <w:rsid w:val="002479FF"/>
    <w:rsid w:val="00247E2F"/>
    <w:rsid w:val="00247F22"/>
    <w:rsid w:val="00247F61"/>
    <w:rsid w:val="00250592"/>
    <w:rsid w:val="00250854"/>
    <w:rsid w:val="002508BF"/>
    <w:rsid w:val="00250DFA"/>
    <w:rsid w:val="00250DFD"/>
    <w:rsid w:val="0025120B"/>
    <w:rsid w:val="00251799"/>
    <w:rsid w:val="002517ED"/>
    <w:rsid w:val="0025189B"/>
    <w:rsid w:val="00251E75"/>
    <w:rsid w:val="00251F25"/>
    <w:rsid w:val="00252082"/>
    <w:rsid w:val="00252919"/>
    <w:rsid w:val="00252D9C"/>
    <w:rsid w:val="00252FA2"/>
    <w:rsid w:val="00253012"/>
    <w:rsid w:val="00253EB0"/>
    <w:rsid w:val="00254246"/>
    <w:rsid w:val="00254A61"/>
    <w:rsid w:val="00254BB3"/>
    <w:rsid w:val="00255962"/>
    <w:rsid w:val="00255F8D"/>
    <w:rsid w:val="00255F91"/>
    <w:rsid w:val="00256220"/>
    <w:rsid w:val="0025675D"/>
    <w:rsid w:val="00256813"/>
    <w:rsid w:val="00256837"/>
    <w:rsid w:val="0025691A"/>
    <w:rsid w:val="00256A65"/>
    <w:rsid w:val="00256AC4"/>
    <w:rsid w:val="00256AF5"/>
    <w:rsid w:val="00256CB5"/>
    <w:rsid w:val="00256DD8"/>
    <w:rsid w:val="00256F4C"/>
    <w:rsid w:val="0025702A"/>
    <w:rsid w:val="002571B8"/>
    <w:rsid w:val="00257852"/>
    <w:rsid w:val="00257857"/>
    <w:rsid w:val="00257A82"/>
    <w:rsid w:val="00260258"/>
    <w:rsid w:val="00260683"/>
    <w:rsid w:val="00260AAC"/>
    <w:rsid w:val="00260ABF"/>
    <w:rsid w:val="00260DEE"/>
    <w:rsid w:val="002610C4"/>
    <w:rsid w:val="0026147B"/>
    <w:rsid w:val="00261D22"/>
    <w:rsid w:val="00261D78"/>
    <w:rsid w:val="00262120"/>
    <w:rsid w:val="002621C3"/>
    <w:rsid w:val="00262818"/>
    <w:rsid w:val="00262AA1"/>
    <w:rsid w:val="0026353C"/>
    <w:rsid w:val="00263CA8"/>
    <w:rsid w:val="00263E72"/>
    <w:rsid w:val="002646FA"/>
    <w:rsid w:val="002648D5"/>
    <w:rsid w:val="00264AA4"/>
    <w:rsid w:val="002650BC"/>
    <w:rsid w:val="00265984"/>
    <w:rsid w:val="00265D53"/>
    <w:rsid w:val="00265D78"/>
    <w:rsid w:val="00265EF6"/>
    <w:rsid w:val="00266190"/>
    <w:rsid w:val="0026669A"/>
    <w:rsid w:val="00266952"/>
    <w:rsid w:val="00266B1E"/>
    <w:rsid w:val="00266B30"/>
    <w:rsid w:val="00266C88"/>
    <w:rsid w:val="00266D7E"/>
    <w:rsid w:val="00266FEB"/>
    <w:rsid w:val="00267191"/>
    <w:rsid w:val="0026737F"/>
    <w:rsid w:val="002675F0"/>
    <w:rsid w:val="002676C1"/>
    <w:rsid w:val="00267FAB"/>
    <w:rsid w:val="002701F5"/>
    <w:rsid w:val="00270310"/>
    <w:rsid w:val="002705CC"/>
    <w:rsid w:val="002706B6"/>
    <w:rsid w:val="0027078B"/>
    <w:rsid w:val="002708FB"/>
    <w:rsid w:val="00270A0F"/>
    <w:rsid w:val="00270AEF"/>
    <w:rsid w:val="00271498"/>
    <w:rsid w:val="00271555"/>
    <w:rsid w:val="00271BB4"/>
    <w:rsid w:val="002720E9"/>
    <w:rsid w:val="00272E3C"/>
    <w:rsid w:val="00272FA9"/>
    <w:rsid w:val="00273350"/>
    <w:rsid w:val="0027357F"/>
    <w:rsid w:val="00273679"/>
    <w:rsid w:val="00273695"/>
    <w:rsid w:val="002737FC"/>
    <w:rsid w:val="002740F7"/>
    <w:rsid w:val="00274833"/>
    <w:rsid w:val="00274DD9"/>
    <w:rsid w:val="0027568A"/>
    <w:rsid w:val="00275F38"/>
    <w:rsid w:val="00276557"/>
    <w:rsid w:val="00276771"/>
    <w:rsid w:val="00276938"/>
    <w:rsid w:val="0027709B"/>
    <w:rsid w:val="00277719"/>
    <w:rsid w:val="00277BDC"/>
    <w:rsid w:val="00277D4C"/>
    <w:rsid w:val="00277EA4"/>
    <w:rsid w:val="00277EC4"/>
    <w:rsid w:val="002801B6"/>
    <w:rsid w:val="0028029F"/>
    <w:rsid w:val="00280794"/>
    <w:rsid w:val="0028084F"/>
    <w:rsid w:val="00280CA2"/>
    <w:rsid w:val="00281AD8"/>
    <w:rsid w:val="00281C0C"/>
    <w:rsid w:val="00281C70"/>
    <w:rsid w:val="00281D07"/>
    <w:rsid w:val="00281F7C"/>
    <w:rsid w:val="002822E7"/>
    <w:rsid w:val="00282A97"/>
    <w:rsid w:val="00282B68"/>
    <w:rsid w:val="00282D5E"/>
    <w:rsid w:val="00282F4F"/>
    <w:rsid w:val="002835E6"/>
    <w:rsid w:val="0028360D"/>
    <w:rsid w:val="00283A4D"/>
    <w:rsid w:val="00283DE7"/>
    <w:rsid w:val="00283FC5"/>
    <w:rsid w:val="0028408C"/>
    <w:rsid w:val="002841CE"/>
    <w:rsid w:val="00284AEB"/>
    <w:rsid w:val="00284B2C"/>
    <w:rsid w:val="00284C34"/>
    <w:rsid w:val="0028544D"/>
    <w:rsid w:val="00285FF1"/>
    <w:rsid w:val="002860B1"/>
    <w:rsid w:val="0028652C"/>
    <w:rsid w:val="002868EC"/>
    <w:rsid w:val="00286DB4"/>
    <w:rsid w:val="00287054"/>
    <w:rsid w:val="00287781"/>
    <w:rsid w:val="0028784C"/>
    <w:rsid w:val="00287B4D"/>
    <w:rsid w:val="00287D5D"/>
    <w:rsid w:val="002902F1"/>
    <w:rsid w:val="00290305"/>
    <w:rsid w:val="00290344"/>
    <w:rsid w:val="0029069E"/>
    <w:rsid w:val="0029072D"/>
    <w:rsid w:val="0029090F"/>
    <w:rsid w:val="00290B5C"/>
    <w:rsid w:val="00290C56"/>
    <w:rsid w:val="00291008"/>
    <w:rsid w:val="00291151"/>
    <w:rsid w:val="002921DD"/>
    <w:rsid w:val="0029269A"/>
    <w:rsid w:val="00292B5B"/>
    <w:rsid w:val="00292ED3"/>
    <w:rsid w:val="00292F68"/>
    <w:rsid w:val="002938B7"/>
    <w:rsid w:val="00294284"/>
    <w:rsid w:val="002948A1"/>
    <w:rsid w:val="00294D89"/>
    <w:rsid w:val="00295354"/>
    <w:rsid w:val="002956C7"/>
    <w:rsid w:val="00295DA5"/>
    <w:rsid w:val="00295EA8"/>
    <w:rsid w:val="00296048"/>
    <w:rsid w:val="002961F3"/>
    <w:rsid w:val="00296220"/>
    <w:rsid w:val="002963AC"/>
    <w:rsid w:val="002963B4"/>
    <w:rsid w:val="0029642D"/>
    <w:rsid w:val="00296927"/>
    <w:rsid w:val="00296ADC"/>
    <w:rsid w:val="00296CBD"/>
    <w:rsid w:val="00296D0D"/>
    <w:rsid w:val="00296D3C"/>
    <w:rsid w:val="00297774"/>
    <w:rsid w:val="00297871"/>
    <w:rsid w:val="00297B9E"/>
    <w:rsid w:val="00297F62"/>
    <w:rsid w:val="002A00BF"/>
    <w:rsid w:val="002A015F"/>
    <w:rsid w:val="002A028D"/>
    <w:rsid w:val="002A03A7"/>
    <w:rsid w:val="002A0747"/>
    <w:rsid w:val="002A07DB"/>
    <w:rsid w:val="002A09E4"/>
    <w:rsid w:val="002A0B4E"/>
    <w:rsid w:val="002A0EE9"/>
    <w:rsid w:val="002A13DF"/>
    <w:rsid w:val="002A14BE"/>
    <w:rsid w:val="002A1559"/>
    <w:rsid w:val="002A1A47"/>
    <w:rsid w:val="002A1BC9"/>
    <w:rsid w:val="002A1E00"/>
    <w:rsid w:val="002A2073"/>
    <w:rsid w:val="002A266F"/>
    <w:rsid w:val="002A292B"/>
    <w:rsid w:val="002A2FC8"/>
    <w:rsid w:val="002A3674"/>
    <w:rsid w:val="002A3C6C"/>
    <w:rsid w:val="002A3C7C"/>
    <w:rsid w:val="002A3C98"/>
    <w:rsid w:val="002A3F5C"/>
    <w:rsid w:val="002A3FD7"/>
    <w:rsid w:val="002A4177"/>
    <w:rsid w:val="002A41C9"/>
    <w:rsid w:val="002A43B7"/>
    <w:rsid w:val="002A470C"/>
    <w:rsid w:val="002A47D2"/>
    <w:rsid w:val="002A4856"/>
    <w:rsid w:val="002A4947"/>
    <w:rsid w:val="002A49DD"/>
    <w:rsid w:val="002A4EA6"/>
    <w:rsid w:val="002A516C"/>
    <w:rsid w:val="002A5F6C"/>
    <w:rsid w:val="002A6065"/>
    <w:rsid w:val="002A60F3"/>
    <w:rsid w:val="002A63C8"/>
    <w:rsid w:val="002A6CE2"/>
    <w:rsid w:val="002A6D02"/>
    <w:rsid w:val="002A6D78"/>
    <w:rsid w:val="002A6FF5"/>
    <w:rsid w:val="002A7064"/>
    <w:rsid w:val="002A7727"/>
    <w:rsid w:val="002A7AD8"/>
    <w:rsid w:val="002A7D29"/>
    <w:rsid w:val="002A7F5D"/>
    <w:rsid w:val="002B038E"/>
    <w:rsid w:val="002B0790"/>
    <w:rsid w:val="002B08BA"/>
    <w:rsid w:val="002B0B24"/>
    <w:rsid w:val="002B0CB3"/>
    <w:rsid w:val="002B0E63"/>
    <w:rsid w:val="002B1010"/>
    <w:rsid w:val="002B1176"/>
    <w:rsid w:val="002B166D"/>
    <w:rsid w:val="002B1767"/>
    <w:rsid w:val="002B1E02"/>
    <w:rsid w:val="002B2155"/>
    <w:rsid w:val="002B2201"/>
    <w:rsid w:val="002B29BF"/>
    <w:rsid w:val="002B2C77"/>
    <w:rsid w:val="002B3046"/>
    <w:rsid w:val="002B36FF"/>
    <w:rsid w:val="002B4281"/>
    <w:rsid w:val="002B44E1"/>
    <w:rsid w:val="002B4688"/>
    <w:rsid w:val="002B4809"/>
    <w:rsid w:val="002B480D"/>
    <w:rsid w:val="002B48A9"/>
    <w:rsid w:val="002B4AB0"/>
    <w:rsid w:val="002B4B55"/>
    <w:rsid w:val="002B4F2B"/>
    <w:rsid w:val="002B54C5"/>
    <w:rsid w:val="002B5A07"/>
    <w:rsid w:val="002B5CE5"/>
    <w:rsid w:val="002B609C"/>
    <w:rsid w:val="002B62BE"/>
    <w:rsid w:val="002B631F"/>
    <w:rsid w:val="002B6AB5"/>
    <w:rsid w:val="002B6C8A"/>
    <w:rsid w:val="002B7174"/>
    <w:rsid w:val="002B73A6"/>
    <w:rsid w:val="002B74DB"/>
    <w:rsid w:val="002B764B"/>
    <w:rsid w:val="002B77BB"/>
    <w:rsid w:val="002B7867"/>
    <w:rsid w:val="002B789E"/>
    <w:rsid w:val="002B7F8C"/>
    <w:rsid w:val="002C02BF"/>
    <w:rsid w:val="002C061A"/>
    <w:rsid w:val="002C08BC"/>
    <w:rsid w:val="002C099E"/>
    <w:rsid w:val="002C0B4D"/>
    <w:rsid w:val="002C12D8"/>
    <w:rsid w:val="002C16BD"/>
    <w:rsid w:val="002C17F8"/>
    <w:rsid w:val="002C182F"/>
    <w:rsid w:val="002C1B7F"/>
    <w:rsid w:val="002C3124"/>
    <w:rsid w:val="002C31B9"/>
    <w:rsid w:val="002C31E4"/>
    <w:rsid w:val="002C3527"/>
    <w:rsid w:val="002C37B9"/>
    <w:rsid w:val="002C41A6"/>
    <w:rsid w:val="002C45C7"/>
    <w:rsid w:val="002C52B8"/>
    <w:rsid w:val="002C5312"/>
    <w:rsid w:val="002C55D5"/>
    <w:rsid w:val="002C5E5C"/>
    <w:rsid w:val="002C67F4"/>
    <w:rsid w:val="002C6CD4"/>
    <w:rsid w:val="002C6D58"/>
    <w:rsid w:val="002C6E26"/>
    <w:rsid w:val="002C79D9"/>
    <w:rsid w:val="002C79EA"/>
    <w:rsid w:val="002D02AC"/>
    <w:rsid w:val="002D03D0"/>
    <w:rsid w:val="002D0635"/>
    <w:rsid w:val="002D09CF"/>
    <w:rsid w:val="002D0D47"/>
    <w:rsid w:val="002D0DF1"/>
    <w:rsid w:val="002D165B"/>
    <w:rsid w:val="002D176B"/>
    <w:rsid w:val="002D1B73"/>
    <w:rsid w:val="002D1C32"/>
    <w:rsid w:val="002D1E96"/>
    <w:rsid w:val="002D20DE"/>
    <w:rsid w:val="002D2173"/>
    <w:rsid w:val="002D2701"/>
    <w:rsid w:val="002D29EF"/>
    <w:rsid w:val="002D29FE"/>
    <w:rsid w:val="002D2FFB"/>
    <w:rsid w:val="002D32E6"/>
    <w:rsid w:val="002D33B5"/>
    <w:rsid w:val="002D35EC"/>
    <w:rsid w:val="002D3A47"/>
    <w:rsid w:val="002D3B2E"/>
    <w:rsid w:val="002D3E9B"/>
    <w:rsid w:val="002D3F17"/>
    <w:rsid w:val="002D40A6"/>
    <w:rsid w:val="002D4457"/>
    <w:rsid w:val="002D4973"/>
    <w:rsid w:val="002D49D4"/>
    <w:rsid w:val="002D4A2E"/>
    <w:rsid w:val="002D4B0C"/>
    <w:rsid w:val="002D4BD6"/>
    <w:rsid w:val="002D4CB7"/>
    <w:rsid w:val="002D50E8"/>
    <w:rsid w:val="002D5139"/>
    <w:rsid w:val="002D5257"/>
    <w:rsid w:val="002D5585"/>
    <w:rsid w:val="002D575C"/>
    <w:rsid w:val="002D5875"/>
    <w:rsid w:val="002D5A92"/>
    <w:rsid w:val="002D5C81"/>
    <w:rsid w:val="002D5ED5"/>
    <w:rsid w:val="002D5EF4"/>
    <w:rsid w:val="002D60CC"/>
    <w:rsid w:val="002D6491"/>
    <w:rsid w:val="002D65B0"/>
    <w:rsid w:val="002D6A99"/>
    <w:rsid w:val="002D6AA4"/>
    <w:rsid w:val="002D704C"/>
    <w:rsid w:val="002D7246"/>
    <w:rsid w:val="002D72E5"/>
    <w:rsid w:val="002D7DF9"/>
    <w:rsid w:val="002D7E4F"/>
    <w:rsid w:val="002E0079"/>
    <w:rsid w:val="002E04FE"/>
    <w:rsid w:val="002E0532"/>
    <w:rsid w:val="002E058B"/>
    <w:rsid w:val="002E07D1"/>
    <w:rsid w:val="002E0E6B"/>
    <w:rsid w:val="002E10A8"/>
    <w:rsid w:val="002E1106"/>
    <w:rsid w:val="002E1235"/>
    <w:rsid w:val="002E1944"/>
    <w:rsid w:val="002E1A93"/>
    <w:rsid w:val="002E1B64"/>
    <w:rsid w:val="002E1DE0"/>
    <w:rsid w:val="002E1E56"/>
    <w:rsid w:val="002E216E"/>
    <w:rsid w:val="002E222B"/>
    <w:rsid w:val="002E22B0"/>
    <w:rsid w:val="002E2361"/>
    <w:rsid w:val="002E2606"/>
    <w:rsid w:val="002E2755"/>
    <w:rsid w:val="002E33AD"/>
    <w:rsid w:val="002E3774"/>
    <w:rsid w:val="002E3B79"/>
    <w:rsid w:val="002E3C6A"/>
    <w:rsid w:val="002E3F05"/>
    <w:rsid w:val="002E40EC"/>
    <w:rsid w:val="002E41A1"/>
    <w:rsid w:val="002E4259"/>
    <w:rsid w:val="002E428B"/>
    <w:rsid w:val="002E4326"/>
    <w:rsid w:val="002E4860"/>
    <w:rsid w:val="002E4B21"/>
    <w:rsid w:val="002E4D9D"/>
    <w:rsid w:val="002E4FF9"/>
    <w:rsid w:val="002E51F6"/>
    <w:rsid w:val="002E5342"/>
    <w:rsid w:val="002E56E2"/>
    <w:rsid w:val="002E5846"/>
    <w:rsid w:val="002E5B0B"/>
    <w:rsid w:val="002E5D39"/>
    <w:rsid w:val="002E6196"/>
    <w:rsid w:val="002E6338"/>
    <w:rsid w:val="002E670B"/>
    <w:rsid w:val="002E6852"/>
    <w:rsid w:val="002E68FB"/>
    <w:rsid w:val="002E69C4"/>
    <w:rsid w:val="002E6C9C"/>
    <w:rsid w:val="002E7359"/>
    <w:rsid w:val="002E7CE7"/>
    <w:rsid w:val="002E7E77"/>
    <w:rsid w:val="002F00CC"/>
    <w:rsid w:val="002F06AF"/>
    <w:rsid w:val="002F0888"/>
    <w:rsid w:val="002F0A5F"/>
    <w:rsid w:val="002F0C29"/>
    <w:rsid w:val="002F116B"/>
    <w:rsid w:val="002F1171"/>
    <w:rsid w:val="002F1306"/>
    <w:rsid w:val="002F1719"/>
    <w:rsid w:val="002F1D38"/>
    <w:rsid w:val="002F1E49"/>
    <w:rsid w:val="002F21D7"/>
    <w:rsid w:val="002F21F8"/>
    <w:rsid w:val="002F25B7"/>
    <w:rsid w:val="002F28E6"/>
    <w:rsid w:val="002F2ACE"/>
    <w:rsid w:val="002F2E64"/>
    <w:rsid w:val="002F3251"/>
    <w:rsid w:val="002F3351"/>
    <w:rsid w:val="002F3722"/>
    <w:rsid w:val="002F3C70"/>
    <w:rsid w:val="002F3D9A"/>
    <w:rsid w:val="002F3E73"/>
    <w:rsid w:val="002F3EDF"/>
    <w:rsid w:val="002F4066"/>
    <w:rsid w:val="002F418F"/>
    <w:rsid w:val="002F42C2"/>
    <w:rsid w:val="002F45A1"/>
    <w:rsid w:val="002F4C02"/>
    <w:rsid w:val="002F4C1C"/>
    <w:rsid w:val="002F4CBB"/>
    <w:rsid w:val="002F5067"/>
    <w:rsid w:val="002F54E2"/>
    <w:rsid w:val="002F5891"/>
    <w:rsid w:val="002F607B"/>
    <w:rsid w:val="002F644D"/>
    <w:rsid w:val="002F694D"/>
    <w:rsid w:val="002F6EDC"/>
    <w:rsid w:val="002F6F64"/>
    <w:rsid w:val="002F71B7"/>
    <w:rsid w:val="00300780"/>
    <w:rsid w:val="003010DD"/>
    <w:rsid w:val="0030145C"/>
    <w:rsid w:val="00301735"/>
    <w:rsid w:val="00301A39"/>
    <w:rsid w:val="00301AEE"/>
    <w:rsid w:val="00301D09"/>
    <w:rsid w:val="00301F4B"/>
    <w:rsid w:val="003020EC"/>
    <w:rsid w:val="00302636"/>
    <w:rsid w:val="00302800"/>
    <w:rsid w:val="003028AE"/>
    <w:rsid w:val="00302B06"/>
    <w:rsid w:val="00303015"/>
    <w:rsid w:val="00303120"/>
    <w:rsid w:val="0030315C"/>
    <w:rsid w:val="0030333B"/>
    <w:rsid w:val="00303463"/>
    <w:rsid w:val="00303522"/>
    <w:rsid w:val="00303718"/>
    <w:rsid w:val="003038FC"/>
    <w:rsid w:val="00303A8B"/>
    <w:rsid w:val="00303B26"/>
    <w:rsid w:val="00303C3E"/>
    <w:rsid w:val="003045B9"/>
    <w:rsid w:val="003048C1"/>
    <w:rsid w:val="003048DB"/>
    <w:rsid w:val="00304C9A"/>
    <w:rsid w:val="00304E24"/>
    <w:rsid w:val="00304E3A"/>
    <w:rsid w:val="003050A3"/>
    <w:rsid w:val="003057A4"/>
    <w:rsid w:val="00305A21"/>
    <w:rsid w:val="00305A95"/>
    <w:rsid w:val="00305B40"/>
    <w:rsid w:val="003060CD"/>
    <w:rsid w:val="003061F9"/>
    <w:rsid w:val="00306B54"/>
    <w:rsid w:val="003073D1"/>
    <w:rsid w:val="00307CC3"/>
    <w:rsid w:val="00307D22"/>
    <w:rsid w:val="00310129"/>
    <w:rsid w:val="003101D9"/>
    <w:rsid w:val="003102A7"/>
    <w:rsid w:val="003103B2"/>
    <w:rsid w:val="00310558"/>
    <w:rsid w:val="00311154"/>
    <w:rsid w:val="00311682"/>
    <w:rsid w:val="00311A40"/>
    <w:rsid w:val="00311C86"/>
    <w:rsid w:val="003120B7"/>
    <w:rsid w:val="00312197"/>
    <w:rsid w:val="003122B5"/>
    <w:rsid w:val="00312E6C"/>
    <w:rsid w:val="0031306B"/>
    <w:rsid w:val="00313076"/>
    <w:rsid w:val="00313801"/>
    <w:rsid w:val="00313D36"/>
    <w:rsid w:val="00314443"/>
    <w:rsid w:val="003146B6"/>
    <w:rsid w:val="00314844"/>
    <w:rsid w:val="00315339"/>
    <w:rsid w:val="0031537E"/>
    <w:rsid w:val="00315694"/>
    <w:rsid w:val="00315CFE"/>
    <w:rsid w:val="00315F63"/>
    <w:rsid w:val="00316096"/>
    <w:rsid w:val="00316383"/>
    <w:rsid w:val="003163C9"/>
    <w:rsid w:val="0031671A"/>
    <w:rsid w:val="00316D7C"/>
    <w:rsid w:val="003172DC"/>
    <w:rsid w:val="003174B6"/>
    <w:rsid w:val="00317747"/>
    <w:rsid w:val="003177C4"/>
    <w:rsid w:val="0032051B"/>
    <w:rsid w:val="00320A99"/>
    <w:rsid w:val="00320B52"/>
    <w:rsid w:val="00321321"/>
    <w:rsid w:val="0032155C"/>
    <w:rsid w:val="003219C7"/>
    <w:rsid w:val="00321CEE"/>
    <w:rsid w:val="00321E64"/>
    <w:rsid w:val="0032208D"/>
    <w:rsid w:val="0032225C"/>
    <w:rsid w:val="00322682"/>
    <w:rsid w:val="00322960"/>
    <w:rsid w:val="00322C52"/>
    <w:rsid w:val="00322DEF"/>
    <w:rsid w:val="0032307F"/>
    <w:rsid w:val="00323151"/>
    <w:rsid w:val="0032318A"/>
    <w:rsid w:val="003233B4"/>
    <w:rsid w:val="0032349D"/>
    <w:rsid w:val="0032350A"/>
    <w:rsid w:val="003236DC"/>
    <w:rsid w:val="003238EA"/>
    <w:rsid w:val="00323A31"/>
    <w:rsid w:val="00323C0A"/>
    <w:rsid w:val="00323F7D"/>
    <w:rsid w:val="003241BC"/>
    <w:rsid w:val="003242FF"/>
    <w:rsid w:val="003243CD"/>
    <w:rsid w:val="00324E00"/>
    <w:rsid w:val="00325372"/>
    <w:rsid w:val="0032541A"/>
    <w:rsid w:val="00325836"/>
    <w:rsid w:val="00325C56"/>
    <w:rsid w:val="00325DB0"/>
    <w:rsid w:val="00325E36"/>
    <w:rsid w:val="00326089"/>
    <w:rsid w:val="003260F0"/>
    <w:rsid w:val="0032669A"/>
    <w:rsid w:val="00326891"/>
    <w:rsid w:val="00326915"/>
    <w:rsid w:val="00326A4A"/>
    <w:rsid w:val="00327090"/>
    <w:rsid w:val="0032709D"/>
    <w:rsid w:val="0032784F"/>
    <w:rsid w:val="00327C00"/>
    <w:rsid w:val="00327EE3"/>
    <w:rsid w:val="00330063"/>
    <w:rsid w:val="003300F2"/>
    <w:rsid w:val="00330263"/>
    <w:rsid w:val="003302D8"/>
    <w:rsid w:val="003303C2"/>
    <w:rsid w:val="00330442"/>
    <w:rsid w:val="00330547"/>
    <w:rsid w:val="003306E5"/>
    <w:rsid w:val="00330992"/>
    <w:rsid w:val="003309A6"/>
    <w:rsid w:val="003310AC"/>
    <w:rsid w:val="003312C6"/>
    <w:rsid w:val="00331727"/>
    <w:rsid w:val="00331B4A"/>
    <w:rsid w:val="00332A8C"/>
    <w:rsid w:val="00332CBE"/>
    <w:rsid w:val="003332C2"/>
    <w:rsid w:val="00333761"/>
    <w:rsid w:val="003338D2"/>
    <w:rsid w:val="00333D40"/>
    <w:rsid w:val="003341DA"/>
    <w:rsid w:val="003346FD"/>
    <w:rsid w:val="00334899"/>
    <w:rsid w:val="0033570C"/>
    <w:rsid w:val="00335AD9"/>
    <w:rsid w:val="00335D08"/>
    <w:rsid w:val="00335F69"/>
    <w:rsid w:val="003364EE"/>
    <w:rsid w:val="00336880"/>
    <w:rsid w:val="00336C22"/>
    <w:rsid w:val="00337013"/>
    <w:rsid w:val="00337449"/>
    <w:rsid w:val="003376DA"/>
    <w:rsid w:val="00337719"/>
    <w:rsid w:val="0033784E"/>
    <w:rsid w:val="00337BF9"/>
    <w:rsid w:val="00337C4D"/>
    <w:rsid w:val="00337D3D"/>
    <w:rsid w:val="00340919"/>
    <w:rsid w:val="00340C95"/>
    <w:rsid w:val="00340D06"/>
    <w:rsid w:val="00340EEF"/>
    <w:rsid w:val="00340F5C"/>
    <w:rsid w:val="00341638"/>
    <w:rsid w:val="00341B6F"/>
    <w:rsid w:val="00341D16"/>
    <w:rsid w:val="00341EBB"/>
    <w:rsid w:val="0034213E"/>
    <w:rsid w:val="0034218F"/>
    <w:rsid w:val="003421C2"/>
    <w:rsid w:val="00342495"/>
    <w:rsid w:val="00342727"/>
    <w:rsid w:val="003427A8"/>
    <w:rsid w:val="00342983"/>
    <w:rsid w:val="0034298C"/>
    <w:rsid w:val="00342B79"/>
    <w:rsid w:val="00342E1F"/>
    <w:rsid w:val="003432DC"/>
    <w:rsid w:val="0034353D"/>
    <w:rsid w:val="0034396E"/>
    <w:rsid w:val="00343F8C"/>
    <w:rsid w:val="00344335"/>
    <w:rsid w:val="00344579"/>
    <w:rsid w:val="00344734"/>
    <w:rsid w:val="00344DA7"/>
    <w:rsid w:val="00344DFF"/>
    <w:rsid w:val="00344F35"/>
    <w:rsid w:val="00344F70"/>
    <w:rsid w:val="0034509B"/>
    <w:rsid w:val="00345345"/>
    <w:rsid w:val="0034563F"/>
    <w:rsid w:val="00345860"/>
    <w:rsid w:val="00345895"/>
    <w:rsid w:val="003458EC"/>
    <w:rsid w:val="00345F1D"/>
    <w:rsid w:val="00345F5B"/>
    <w:rsid w:val="0034634C"/>
    <w:rsid w:val="0034680F"/>
    <w:rsid w:val="003468A5"/>
    <w:rsid w:val="00346A8E"/>
    <w:rsid w:val="00346F1E"/>
    <w:rsid w:val="003475D5"/>
    <w:rsid w:val="003475FE"/>
    <w:rsid w:val="003478D2"/>
    <w:rsid w:val="00347CBC"/>
    <w:rsid w:val="00347F9C"/>
    <w:rsid w:val="00350271"/>
    <w:rsid w:val="0035034D"/>
    <w:rsid w:val="00350DDB"/>
    <w:rsid w:val="003514B4"/>
    <w:rsid w:val="00351BDA"/>
    <w:rsid w:val="00351D00"/>
    <w:rsid w:val="003527E4"/>
    <w:rsid w:val="0035298A"/>
    <w:rsid w:val="00352C68"/>
    <w:rsid w:val="00353046"/>
    <w:rsid w:val="003534D8"/>
    <w:rsid w:val="00353592"/>
    <w:rsid w:val="00353B95"/>
    <w:rsid w:val="00353FC5"/>
    <w:rsid w:val="003551E4"/>
    <w:rsid w:val="00355218"/>
    <w:rsid w:val="003555C8"/>
    <w:rsid w:val="00355951"/>
    <w:rsid w:val="003559D6"/>
    <w:rsid w:val="00355A89"/>
    <w:rsid w:val="00355B0A"/>
    <w:rsid w:val="00355F99"/>
    <w:rsid w:val="00355FF7"/>
    <w:rsid w:val="003565A4"/>
    <w:rsid w:val="00356754"/>
    <w:rsid w:val="00356C61"/>
    <w:rsid w:val="003572EC"/>
    <w:rsid w:val="003573FE"/>
    <w:rsid w:val="003579F4"/>
    <w:rsid w:val="00357FDA"/>
    <w:rsid w:val="003600A8"/>
    <w:rsid w:val="003601F5"/>
    <w:rsid w:val="00360339"/>
    <w:rsid w:val="00360495"/>
    <w:rsid w:val="00361051"/>
    <w:rsid w:val="00361283"/>
    <w:rsid w:val="003613CA"/>
    <w:rsid w:val="003618B2"/>
    <w:rsid w:val="00361A91"/>
    <w:rsid w:val="00361B36"/>
    <w:rsid w:val="0036248C"/>
    <w:rsid w:val="00362A8A"/>
    <w:rsid w:val="00362D6D"/>
    <w:rsid w:val="00362E3A"/>
    <w:rsid w:val="003634C5"/>
    <w:rsid w:val="003635A8"/>
    <w:rsid w:val="003638FD"/>
    <w:rsid w:val="00363A2E"/>
    <w:rsid w:val="00363C53"/>
    <w:rsid w:val="0036417C"/>
    <w:rsid w:val="00364992"/>
    <w:rsid w:val="00364A59"/>
    <w:rsid w:val="00364F95"/>
    <w:rsid w:val="0036510A"/>
    <w:rsid w:val="00365286"/>
    <w:rsid w:val="0036530C"/>
    <w:rsid w:val="0036553E"/>
    <w:rsid w:val="003656A2"/>
    <w:rsid w:val="00365BDA"/>
    <w:rsid w:val="00365F29"/>
    <w:rsid w:val="003660DB"/>
    <w:rsid w:val="00366531"/>
    <w:rsid w:val="00366622"/>
    <w:rsid w:val="0036689B"/>
    <w:rsid w:val="00367055"/>
    <w:rsid w:val="0036737F"/>
    <w:rsid w:val="00367514"/>
    <w:rsid w:val="0036752B"/>
    <w:rsid w:val="003675C8"/>
    <w:rsid w:val="00367C5B"/>
    <w:rsid w:val="00367EE0"/>
    <w:rsid w:val="003700E2"/>
    <w:rsid w:val="0037022C"/>
    <w:rsid w:val="003702DC"/>
    <w:rsid w:val="0037040C"/>
    <w:rsid w:val="003705C9"/>
    <w:rsid w:val="00370B8B"/>
    <w:rsid w:val="00370BA6"/>
    <w:rsid w:val="00370E0C"/>
    <w:rsid w:val="0037118C"/>
    <w:rsid w:val="00371278"/>
    <w:rsid w:val="003713C8"/>
    <w:rsid w:val="00371500"/>
    <w:rsid w:val="00371F33"/>
    <w:rsid w:val="00372190"/>
    <w:rsid w:val="0037229C"/>
    <w:rsid w:val="003724B1"/>
    <w:rsid w:val="0037264D"/>
    <w:rsid w:val="0037299E"/>
    <w:rsid w:val="00372A1F"/>
    <w:rsid w:val="00372B7C"/>
    <w:rsid w:val="00372FD8"/>
    <w:rsid w:val="0037336F"/>
    <w:rsid w:val="00373432"/>
    <w:rsid w:val="0037357A"/>
    <w:rsid w:val="003735C7"/>
    <w:rsid w:val="0037370B"/>
    <w:rsid w:val="00373C2F"/>
    <w:rsid w:val="00373F0E"/>
    <w:rsid w:val="00374433"/>
    <w:rsid w:val="00374486"/>
    <w:rsid w:val="00374FC5"/>
    <w:rsid w:val="00375164"/>
    <w:rsid w:val="0037559C"/>
    <w:rsid w:val="003755E7"/>
    <w:rsid w:val="0037586A"/>
    <w:rsid w:val="003758B8"/>
    <w:rsid w:val="00375A17"/>
    <w:rsid w:val="00375EFA"/>
    <w:rsid w:val="00375F7C"/>
    <w:rsid w:val="003760AD"/>
    <w:rsid w:val="00376142"/>
    <w:rsid w:val="003766C8"/>
    <w:rsid w:val="003768BC"/>
    <w:rsid w:val="003768CE"/>
    <w:rsid w:val="00376D4F"/>
    <w:rsid w:val="00376D65"/>
    <w:rsid w:val="00376D75"/>
    <w:rsid w:val="003772F9"/>
    <w:rsid w:val="003773FB"/>
    <w:rsid w:val="00377719"/>
    <w:rsid w:val="0037790A"/>
    <w:rsid w:val="00377B63"/>
    <w:rsid w:val="00377F1B"/>
    <w:rsid w:val="003800D6"/>
    <w:rsid w:val="00380F20"/>
    <w:rsid w:val="0038164F"/>
    <w:rsid w:val="00381791"/>
    <w:rsid w:val="0038187C"/>
    <w:rsid w:val="00381F6E"/>
    <w:rsid w:val="00381F90"/>
    <w:rsid w:val="00381FF9"/>
    <w:rsid w:val="003821C9"/>
    <w:rsid w:val="00382261"/>
    <w:rsid w:val="00382349"/>
    <w:rsid w:val="003823A4"/>
    <w:rsid w:val="003829C9"/>
    <w:rsid w:val="00382A9F"/>
    <w:rsid w:val="00382B4F"/>
    <w:rsid w:val="00382EF3"/>
    <w:rsid w:val="00382EF7"/>
    <w:rsid w:val="00383B8B"/>
    <w:rsid w:val="00383EB5"/>
    <w:rsid w:val="00384220"/>
    <w:rsid w:val="00384488"/>
    <w:rsid w:val="0038482D"/>
    <w:rsid w:val="00384DAB"/>
    <w:rsid w:val="0038520F"/>
    <w:rsid w:val="00385391"/>
    <w:rsid w:val="00385567"/>
    <w:rsid w:val="00385579"/>
    <w:rsid w:val="00385C91"/>
    <w:rsid w:val="00387249"/>
    <w:rsid w:val="0038764D"/>
    <w:rsid w:val="00387882"/>
    <w:rsid w:val="00387A43"/>
    <w:rsid w:val="00387D54"/>
    <w:rsid w:val="00387DB1"/>
    <w:rsid w:val="00387EB6"/>
    <w:rsid w:val="00391001"/>
    <w:rsid w:val="003911DA"/>
    <w:rsid w:val="00391827"/>
    <w:rsid w:val="00392901"/>
    <w:rsid w:val="00392989"/>
    <w:rsid w:val="003936D1"/>
    <w:rsid w:val="00393BC1"/>
    <w:rsid w:val="00393F99"/>
    <w:rsid w:val="00394139"/>
    <w:rsid w:val="003943B5"/>
    <w:rsid w:val="003947FB"/>
    <w:rsid w:val="00394832"/>
    <w:rsid w:val="00394988"/>
    <w:rsid w:val="00394B78"/>
    <w:rsid w:val="003957C8"/>
    <w:rsid w:val="003958C8"/>
    <w:rsid w:val="00395947"/>
    <w:rsid w:val="00395D60"/>
    <w:rsid w:val="00395E24"/>
    <w:rsid w:val="003961BB"/>
    <w:rsid w:val="00396269"/>
    <w:rsid w:val="00396D62"/>
    <w:rsid w:val="00397716"/>
    <w:rsid w:val="0039792D"/>
    <w:rsid w:val="00397A4B"/>
    <w:rsid w:val="00397C0C"/>
    <w:rsid w:val="003A0136"/>
    <w:rsid w:val="003A04AB"/>
    <w:rsid w:val="003A0A76"/>
    <w:rsid w:val="003A1481"/>
    <w:rsid w:val="003A1509"/>
    <w:rsid w:val="003A1521"/>
    <w:rsid w:val="003A169C"/>
    <w:rsid w:val="003A18A2"/>
    <w:rsid w:val="003A1923"/>
    <w:rsid w:val="003A1A05"/>
    <w:rsid w:val="003A1AB3"/>
    <w:rsid w:val="003A20AA"/>
    <w:rsid w:val="003A2CD9"/>
    <w:rsid w:val="003A2CDD"/>
    <w:rsid w:val="003A30A6"/>
    <w:rsid w:val="003A3651"/>
    <w:rsid w:val="003A365C"/>
    <w:rsid w:val="003A3813"/>
    <w:rsid w:val="003A3CD9"/>
    <w:rsid w:val="003A3E6B"/>
    <w:rsid w:val="003A4086"/>
    <w:rsid w:val="003A41EA"/>
    <w:rsid w:val="003A50CA"/>
    <w:rsid w:val="003A515C"/>
    <w:rsid w:val="003A54DB"/>
    <w:rsid w:val="003A5B99"/>
    <w:rsid w:val="003A6281"/>
    <w:rsid w:val="003A64CC"/>
    <w:rsid w:val="003A65E5"/>
    <w:rsid w:val="003A67ED"/>
    <w:rsid w:val="003A6A89"/>
    <w:rsid w:val="003A6E65"/>
    <w:rsid w:val="003A6EC7"/>
    <w:rsid w:val="003A71E2"/>
    <w:rsid w:val="003A7850"/>
    <w:rsid w:val="003B040A"/>
    <w:rsid w:val="003B047D"/>
    <w:rsid w:val="003B0688"/>
    <w:rsid w:val="003B0C83"/>
    <w:rsid w:val="003B0CB8"/>
    <w:rsid w:val="003B186D"/>
    <w:rsid w:val="003B1B9F"/>
    <w:rsid w:val="003B1C2E"/>
    <w:rsid w:val="003B1C9B"/>
    <w:rsid w:val="003B2066"/>
    <w:rsid w:val="003B2192"/>
    <w:rsid w:val="003B2501"/>
    <w:rsid w:val="003B2B87"/>
    <w:rsid w:val="003B2BC7"/>
    <w:rsid w:val="003B2C4B"/>
    <w:rsid w:val="003B2C4F"/>
    <w:rsid w:val="003B2C7D"/>
    <w:rsid w:val="003B31AD"/>
    <w:rsid w:val="003B3583"/>
    <w:rsid w:val="003B36FB"/>
    <w:rsid w:val="003B3B59"/>
    <w:rsid w:val="003B3C1E"/>
    <w:rsid w:val="003B42FA"/>
    <w:rsid w:val="003B45A3"/>
    <w:rsid w:val="003B4876"/>
    <w:rsid w:val="003B48D4"/>
    <w:rsid w:val="003B49C3"/>
    <w:rsid w:val="003B52A0"/>
    <w:rsid w:val="003B5618"/>
    <w:rsid w:val="003B5808"/>
    <w:rsid w:val="003B66A5"/>
    <w:rsid w:val="003B682C"/>
    <w:rsid w:val="003B6AED"/>
    <w:rsid w:val="003B6B4E"/>
    <w:rsid w:val="003B6DBA"/>
    <w:rsid w:val="003B6F8D"/>
    <w:rsid w:val="003B7172"/>
    <w:rsid w:val="003B75CA"/>
    <w:rsid w:val="003B7B7E"/>
    <w:rsid w:val="003C0216"/>
    <w:rsid w:val="003C0287"/>
    <w:rsid w:val="003C0714"/>
    <w:rsid w:val="003C0A26"/>
    <w:rsid w:val="003C0E08"/>
    <w:rsid w:val="003C135F"/>
    <w:rsid w:val="003C1B01"/>
    <w:rsid w:val="003C2005"/>
    <w:rsid w:val="003C22C2"/>
    <w:rsid w:val="003C26B2"/>
    <w:rsid w:val="003C26C8"/>
    <w:rsid w:val="003C2F85"/>
    <w:rsid w:val="003C2F98"/>
    <w:rsid w:val="003C3105"/>
    <w:rsid w:val="003C32BA"/>
    <w:rsid w:val="003C3888"/>
    <w:rsid w:val="003C3A02"/>
    <w:rsid w:val="003C3A04"/>
    <w:rsid w:val="003C41AC"/>
    <w:rsid w:val="003C4646"/>
    <w:rsid w:val="003C4C33"/>
    <w:rsid w:val="003C4E3C"/>
    <w:rsid w:val="003C5012"/>
    <w:rsid w:val="003C5653"/>
    <w:rsid w:val="003C5FA8"/>
    <w:rsid w:val="003C6002"/>
    <w:rsid w:val="003C61C4"/>
    <w:rsid w:val="003C61D2"/>
    <w:rsid w:val="003C644A"/>
    <w:rsid w:val="003C67D2"/>
    <w:rsid w:val="003C6A1D"/>
    <w:rsid w:val="003C6A40"/>
    <w:rsid w:val="003C7322"/>
    <w:rsid w:val="003C7551"/>
    <w:rsid w:val="003C7645"/>
    <w:rsid w:val="003C786B"/>
    <w:rsid w:val="003C78D4"/>
    <w:rsid w:val="003C79CC"/>
    <w:rsid w:val="003C7D67"/>
    <w:rsid w:val="003D0452"/>
    <w:rsid w:val="003D04A3"/>
    <w:rsid w:val="003D050B"/>
    <w:rsid w:val="003D0549"/>
    <w:rsid w:val="003D0830"/>
    <w:rsid w:val="003D09A3"/>
    <w:rsid w:val="003D1032"/>
    <w:rsid w:val="003D12B9"/>
    <w:rsid w:val="003D14D5"/>
    <w:rsid w:val="003D1D22"/>
    <w:rsid w:val="003D1DCD"/>
    <w:rsid w:val="003D204C"/>
    <w:rsid w:val="003D2A01"/>
    <w:rsid w:val="003D2EA5"/>
    <w:rsid w:val="003D3018"/>
    <w:rsid w:val="003D33E1"/>
    <w:rsid w:val="003D357A"/>
    <w:rsid w:val="003D3D20"/>
    <w:rsid w:val="003D3DAA"/>
    <w:rsid w:val="003D3F1B"/>
    <w:rsid w:val="003D3FCC"/>
    <w:rsid w:val="003D443E"/>
    <w:rsid w:val="003D45B3"/>
    <w:rsid w:val="003D4816"/>
    <w:rsid w:val="003D4EBB"/>
    <w:rsid w:val="003D4EBE"/>
    <w:rsid w:val="003D4F7D"/>
    <w:rsid w:val="003D5313"/>
    <w:rsid w:val="003D551B"/>
    <w:rsid w:val="003D553B"/>
    <w:rsid w:val="003D554D"/>
    <w:rsid w:val="003D6210"/>
    <w:rsid w:val="003D62CA"/>
    <w:rsid w:val="003D6360"/>
    <w:rsid w:val="003D63DA"/>
    <w:rsid w:val="003D6613"/>
    <w:rsid w:val="003D6C66"/>
    <w:rsid w:val="003D6EFF"/>
    <w:rsid w:val="003D7259"/>
    <w:rsid w:val="003D7808"/>
    <w:rsid w:val="003D7D53"/>
    <w:rsid w:val="003E06FF"/>
    <w:rsid w:val="003E078F"/>
    <w:rsid w:val="003E07CD"/>
    <w:rsid w:val="003E1393"/>
    <w:rsid w:val="003E19C0"/>
    <w:rsid w:val="003E1CC1"/>
    <w:rsid w:val="003E2368"/>
    <w:rsid w:val="003E28D4"/>
    <w:rsid w:val="003E292C"/>
    <w:rsid w:val="003E2C0B"/>
    <w:rsid w:val="003E2CE7"/>
    <w:rsid w:val="003E3294"/>
    <w:rsid w:val="003E3460"/>
    <w:rsid w:val="003E36A4"/>
    <w:rsid w:val="003E379F"/>
    <w:rsid w:val="003E4127"/>
    <w:rsid w:val="003E4128"/>
    <w:rsid w:val="003E41D9"/>
    <w:rsid w:val="003E4596"/>
    <w:rsid w:val="003E4657"/>
    <w:rsid w:val="003E4AF9"/>
    <w:rsid w:val="003E4D22"/>
    <w:rsid w:val="003E566C"/>
    <w:rsid w:val="003E57FB"/>
    <w:rsid w:val="003E595D"/>
    <w:rsid w:val="003E5BB5"/>
    <w:rsid w:val="003E5BB8"/>
    <w:rsid w:val="003E614B"/>
    <w:rsid w:val="003E6257"/>
    <w:rsid w:val="003E6C05"/>
    <w:rsid w:val="003E6D77"/>
    <w:rsid w:val="003E70E3"/>
    <w:rsid w:val="003E7365"/>
    <w:rsid w:val="003E7545"/>
    <w:rsid w:val="003E7874"/>
    <w:rsid w:val="003E787A"/>
    <w:rsid w:val="003F01C0"/>
    <w:rsid w:val="003F0611"/>
    <w:rsid w:val="003F0D1D"/>
    <w:rsid w:val="003F0EC8"/>
    <w:rsid w:val="003F1320"/>
    <w:rsid w:val="003F1846"/>
    <w:rsid w:val="003F1CD5"/>
    <w:rsid w:val="003F1F3F"/>
    <w:rsid w:val="003F227A"/>
    <w:rsid w:val="003F236A"/>
    <w:rsid w:val="003F2AB0"/>
    <w:rsid w:val="003F2B49"/>
    <w:rsid w:val="003F2BA1"/>
    <w:rsid w:val="003F2D74"/>
    <w:rsid w:val="003F2EEE"/>
    <w:rsid w:val="003F3810"/>
    <w:rsid w:val="003F3C9C"/>
    <w:rsid w:val="003F3EE4"/>
    <w:rsid w:val="003F432B"/>
    <w:rsid w:val="003F46EF"/>
    <w:rsid w:val="003F4933"/>
    <w:rsid w:val="003F4D6B"/>
    <w:rsid w:val="003F4FFE"/>
    <w:rsid w:val="003F564C"/>
    <w:rsid w:val="003F5AA9"/>
    <w:rsid w:val="003F5B1B"/>
    <w:rsid w:val="003F5BCD"/>
    <w:rsid w:val="003F6479"/>
    <w:rsid w:val="003F6582"/>
    <w:rsid w:val="003F6680"/>
    <w:rsid w:val="003F671A"/>
    <w:rsid w:val="003F6C0B"/>
    <w:rsid w:val="003F6CAF"/>
    <w:rsid w:val="003F6CFE"/>
    <w:rsid w:val="003F70F6"/>
    <w:rsid w:val="003F7267"/>
    <w:rsid w:val="003F7684"/>
    <w:rsid w:val="003F7781"/>
    <w:rsid w:val="003F7A67"/>
    <w:rsid w:val="00400176"/>
    <w:rsid w:val="004005E3"/>
    <w:rsid w:val="0040088B"/>
    <w:rsid w:val="00400E81"/>
    <w:rsid w:val="0040128F"/>
    <w:rsid w:val="004012D8"/>
    <w:rsid w:val="0040130D"/>
    <w:rsid w:val="00401CEF"/>
    <w:rsid w:val="004020D3"/>
    <w:rsid w:val="00402345"/>
    <w:rsid w:val="004023E7"/>
    <w:rsid w:val="0040265F"/>
    <w:rsid w:val="00402CF5"/>
    <w:rsid w:val="00403554"/>
    <w:rsid w:val="00403649"/>
    <w:rsid w:val="00403B84"/>
    <w:rsid w:val="00403C4E"/>
    <w:rsid w:val="004040BE"/>
    <w:rsid w:val="004040FB"/>
    <w:rsid w:val="00404C78"/>
    <w:rsid w:val="00404E90"/>
    <w:rsid w:val="00404F7E"/>
    <w:rsid w:val="004051E5"/>
    <w:rsid w:val="0040523C"/>
    <w:rsid w:val="004053E3"/>
    <w:rsid w:val="00405AAB"/>
    <w:rsid w:val="00405C5F"/>
    <w:rsid w:val="00405F25"/>
    <w:rsid w:val="00405F97"/>
    <w:rsid w:val="0040645B"/>
    <w:rsid w:val="00406595"/>
    <w:rsid w:val="00406A8F"/>
    <w:rsid w:val="00406B6B"/>
    <w:rsid w:val="00407137"/>
    <w:rsid w:val="00407382"/>
    <w:rsid w:val="0040746B"/>
    <w:rsid w:val="00407480"/>
    <w:rsid w:val="00407B2A"/>
    <w:rsid w:val="00410A63"/>
    <w:rsid w:val="00410EF9"/>
    <w:rsid w:val="0041115A"/>
    <w:rsid w:val="004111D3"/>
    <w:rsid w:val="00411658"/>
    <w:rsid w:val="004116D1"/>
    <w:rsid w:val="004119B6"/>
    <w:rsid w:val="00412336"/>
    <w:rsid w:val="00412397"/>
    <w:rsid w:val="0041252F"/>
    <w:rsid w:val="00412953"/>
    <w:rsid w:val="00412A48"/>
    <w:rsid w:val="00412F72"/>
    <w:rsid w:val="004134FA"/>
    <w:rsid w:val="00413822"/>
    <w:rsid w:val="004139E9"/>
    <w:rsid w:val="00413B9C"/>
    <w:rsid w:val="004145A3"/>
    <w:rsid w:val="00414AD3"/>
    <w:rsid w:val="0041530D"/>
    <w:rsid w:val="00415418"/>
    <w:rsid w:val="00415E9A"/>
    <w:rsid w:val="00416025"/>
    <w:rsid w:val="004163CC"/>
    <w:rsid w:val="00416406"/>
    <w:rsid w:val="004164E2"/>
    <w:rsid w:val="00416928"/>
    <w:rsid w:val="00416939"/>
    <w:rsid w:val="00416FC2"/>
    <w:rsid w:val="0041740E"/>
    <w:rsid w:val="0041756F"/>
    <w:rsid w:val="00417999"/>
    <w:rsid w:val="00417AF7"/>
    <w:rsid w:val="00417BB5"/>
    <w:rsid w:val="00417D20"/>
    <w:rsid w:val="00417D7E"/>
    <w:rsid w:val="0042009B"/>
    <w:rsid w:val="00420924"/>
    <w:rsid w:val="00420B73"/>
    <w:rsid w:val="00420DF9"/>
    <w:rsid w:val="00420F18"/>
    <w:rsid w:val="00421B17"/>
    <w:rsid w:val="0042206B"/>
    <w:rsid w:val="00422164"/>
    <w:rsid w:val="004221C3"/>
    <w:rsid w:val="004222A0"/>
    <w:rsid w:val="00422711"/>
    <w:rsid w:val="00422982"/>
    <w:rsid w:val="00422ABC"/>
    <w:rsid w:val="004230A9"/>
    <w:rsid w:val="0042355F"/>
    <w:rsid w:val="004236C2"/>
    <w:rsid w:val="00423769"/>
    <w:rsid w:val="004237AF"/>
    <w:rsid w:val="004241EF"/>
    <w:rsid w:val="0042426B"/>
    <w:rsid w:val="004243B0"/>
    <w:rsid w:val="004246DE"/>
    <w:rsid w:val="00424702"/>
    <w:rsid w:val="0042488C"/>
    <w:rsid w:val="00424AFF"/>
    <w:rsid w:val="00424C84"/>
    <w:rsid w:val="004252CB"/>
    <w:rsid w:val="00425687"/>
    <w:rsid w:val="0042575F"/>
    <w:rsid w:val="004259A8"/>
    <w:rsid w:val="00425B48"/>
    <w:rsid w:val="004261CB"/>
    <w:rsid w:val="004262DF"/>
    <w:rsid w:val="004264F8"/>
    <w:rsid w:val="0042652E"/>
    <w:rsid w:val="0042658C"/>
    <w:rsid w:val="004266C2"/>
    <w:rsid w:val="00426EAB"/>
    <w:rsid w:val="0042709E"/>
    <w:rsid w:val="00427352"/>
    <w:rsid w:val="004273C9"/>
    <w:rsid w:val="00427672"/>
    <w:rsid w:val="00427C42"/>
    <w:rsid w:val="00430091"/>
    <w:rsid w:val="0043009D"/>
    <w:rsid w:val="00430D2E"/>
    <w:rsid w:val="00430EA0"/>
    <w:rsid w:val="0043128B"/>
    <w:rsid w:val="004314FC"/>
    <w:rsid w:val="00431928"/>
    <w:rsid w:val="0043193A"/>
    <w:rsid w:val="004319CC"/>
    <w:rsid w:val="00431EBE"/>
    <w:rsid w:val="00432688"/>
    <w:rsid w:val="00432A33"/>
    <w:rsid w:val="00433589"/>
    <w:rsid w:val="0043425D"/>
    <w:rsid w:val="00434603"/>
    <w:rsid w:val="004348CF"/>
    <w:rsid w:val="00434972"/>
    <w:rsid w:val="0043577B"/>
    <w:rsid w:val="00435A7A"/>
    <w:rsid w:val="00435E06"/>
    <w:rsid w:val="00435EA5"/>
    <w:rsid w:val="0043636E"/>
    <w:rsid w:val="0043644D"/>
    <w:rsid w:val="0043684C"/>
    <w:rsid w:val="00436CE2"/>
    <w:rsid w:val="0043721D"/>
    <w:rsid w:val="004374C2"/>
    <w:rsid w:val="004377FF"/>
    <w:rsid w:val="00437AA7"/>
    <w:rsid w:val="00437D5B"/>
    <w:rsid w:val="00437D7F"/>
    <w:rsid w:val="00440BC9"/>
    <w:rsid w:val="00440CBC"/>
    <w:rsid w:val="00440D60"/>
    <w:rsid w:val="00440DFB"/>
    <w:rsid w:val="004410CC"/>
    <w:rsid w:val="004415E7"/>
    <w:rsid w:val="00441DD8"/>
    <w:rsid w:val="00442925"/>
    <w:rsid w:val="00442BD7"/>
    <w:rsid w:val="00442D62"/>
    <w:rsid w:val="004432A9"/>
    <w:rsid w:val="0044337A"/>
    <w:rsid w:val="00443B83"/>
    <w:rsid w:val="00443F2A"/>
    <w:rsid w:val="00444039"/>
    <w:rsid w:val="00444F12"/>
    <w:rsid w:val="004454A6"/>
    <w:rsid w:val="00445E31"/>
    <w:rsid w:val="004464CF"/>
    <w:rsid w:val="004467EC"/>
    <w:rsid w:val="00446AB3"/>
    <w:rsid w:val="00446BAC"/>
    <w:rsid w:val="00446C3E"/>
    <w:rsid w:val="00446E07"/>
    <w:rsid w:val="00446E8C"/>
    <w:rsid w:val="00446F1A"/>
    <w:rsid w:val="00446F25"/>
    <w:rsid w:val="00447357"/>
    <w:rsid w:val="004475FA"/>
    <w:rsid w:val="00447C63"/>
    <w:rsid w:val="00447D0C"/>
    <w:rsid w:val="00447D9F"/>
    <w:rsid w:val="00447E20"/>
    <w:rsid w:val="00447F2E"/>
    <w:rsid w:val="00450131"/>
    <w:rsid w:val="0045082A"/>
    <w:rsid w:val="00450915"/>
    <w:rsid w:val="00450985"/>
    <w:rsid w:val="00450B4A"/>
    <w:rsid w:val="00451161"/>
    <w:rsid w:val="00451175"/>
    <w:rsid w:val="00451600"/>
    <w:rsid w:val="00451694"/>
    <w:rsid w:val="00451998"/>
    <w:rsid w:val="004519AC"/>
    <w:rsid w:val="00451FF1"/>
    <w:rsid w:val="0045285A"/>
    <w:rsid w:val="00453543"/>
    <w:rsid w:val="00453854"/>
    <w:rsid w:val="00453BAD"/>
    <w:rsid w:val="00453D90"/>
    <w:rsid w:val="00453DE3"/>
    <w:rsid w:val="004543F1"/>
    <w:rsid w:val="0045445E"/>
    <w:rsid w:val="004544DD"/>
    <w:rsid w:val="00454542"/>
    <w:rsid w:val="0045479B"/>
    <w:rsid w:val="004547C5"/>
    <w:rsid w:val="004547F9"/>
    <w:rsid w:val="004548EF"/>
    <w:rsid w:val="00454E95"/>
    <w:rsid w:val="004558C1"/>
    <w:rsid w:val="00455C15"/>
    <w:rsid w:val="00455DF5"/>
    <w:rsid w:val="004560EE"/>
    <w:rsid w:val="0045680A"/>
    <w:rsid w:val="00456B69"/>
    <w:rsid w:val="00456C8C"/>
    <w:rsid w:val="00456DF4"/>
    <w:rsid w:val="00456F0F"/>
    <w:rsid w:val="0046012E"/>
    <w:rsid w:val="004606AE"/>
    <w:rsid w:val="00460831"/>
    <w:rsid w:val="0046095E"/>
    <w:rsid w:val="00461061"/>
    <w:rsid w:val="0046109B"/>
    <w:rsid w:val="00461672"/>
    <w:rsid w:val="00461705"/>
    <w:rsid w:val="004619D0"/>
    <w:rsid w:val="00461CC2"/>
    <w:rsid w:val="00461EAB"/>
    <w:rsid w:val="0046220E"/>
    <w:rsid w:val="004622C3"/>
    <w:rsid w:val="0046259B"/>
    <w:rsid w:val="004627D4"/>
    <w:rsid w:val="004628FE"/>
    <w:rsid w:val="00462A4D"/>
    <w:rsid w:val="00462D4D"/>
    <w:rsid w:val="0046309E"/>
    <w:rsid w:val="004632F8"/>
    <w:rsid w:val="00463310"/>
    <w:rsid w:val="004634D2"/>
    <w:rsid w:val="004636E6"/>
    <w:rsid w:val="00463704"/>
    <w:rsid w:val="00463C2E"/>
    <w:rsid w:val="004640CE"/>
    <w:rsid w:val="00464882"/>
    <w:rsid w:val="00464E0E"/>
    <w:rsid w:val="00465104"/>
    <w:rsid w:val="004668A9"/>
    <w:rsid w:val="00466B62"/>
    <w:rsid w:val="00466BBB"/>
    <w:rsid w:val="0046707D"/>
    <w:rsid w:val="0046736C"/>
    <w:rsid w:val="00467CED"/>
    <w:rsid w:val="00467FA9"/>
    <w:rsid w:val="00470022"/>
    <w:rsid w:val="00470157"/>
    <w:rsid w:val="00470411"/>
    <w:rsid w:val="004712C2"/>
    <w:rsid w:val="00471579"/>
    <w:rsid w:val="00471B58"/>
    <w:rsid w:val="00471D2B"/>
    <w:rsid w:val="00471D3E"/>
    <w:rsid w:val="00472268"/>
    <w:rsid w:val="0047248D"/>
    <w:rsid w:val="00472AD0"/>
    <w:rsid w:val="00472DDA"/>
    <w:rsid w:val="00473701"/>
    <w:rsid w:val="00473850"/>
    <w:rsid w:val="00473A16"/>
    <w:rsid w:val="0047431A"/>
    <w:rsid w:val="0047467F"/>
    <w:rsid w:val="0047518B"/>
    <w:rsid w:val="004760EF"/>
    <w:rsid w:val="00476112"/>
    <w:rsid w:val="0047626A"/>
    <w:rsid w:val="00476653"/>
    <w:rsid w:val="00476895"/>
    <w:rsid w:val="00476DD7"/>
    <w:rsid w:val="00477074"/>
    <w:rsid w:val="004770A7"/>
    <w:rsid w:val="0047717D"/>
    <w:rsid w:val="0047720B"/>
    <w:rsid w:val="00477624"/>
    <w:rsid w:val="00477920"/>
    <w:rsid w:val="00477CBD"/>
    <w:rsid w:val="00477D07"/>
    <w:rsid w:val="00477F98"/>
    <w:rsid w:val="004805C2"/>
    <w:rsid w:val="00480A08"/>
    <w:rsid w:val="0048106F"/>
    <w:rsid w:val="0048112A"/>
    <w:rsid w:val="0048141D"/>
    <w:rsid w:val="004824B5"/>
    <w:rsid w:val="0048279E"/>
    <w:rsid w:val="004828CA"/>
    <w:rsid w:val="00482954"/>
    <w:rsid w:val="00482A48"/>
    <w:rsid w:val="00482C9A"/>
    <w:rsid w:val="00482EFA"/>
    <w:rsid w:val="0048326C"/>
    <w:rsid w:val="004833BF"/>
    <w:rsid w:val="00483C9D"/>
    <w:rsid w:val="00483FFF"/>
    <w:rsid w:val="0048406F"/>
    <w:rsid w:val="004840D2"/>
    <w:rsid w:val="004847C8"/>
    <w:rsid w:val="00485115"/>
    <w:rsid w:val="0048554A"/>
    <w:rsid w:val="00485979"/>
    <w:rsid w:val="00485B68"/>
    <w:rsid w:val="00485BB2"/>
    <w:rsid w:val="00485F78"/>
    <w:rsid w:val="004865CF"/>
    <w:rsid w:val="00486B70"/>
    <w:rsid w:val="00486E7D"/>
    <w:rsid w:val="00486ECC"/>
    <w:rsid w:val="00486EE3"/>
    <w:rsid w:val="00490075"/>
    <w:rsid w:val="00490353"/>
    <w:rsid w:val="00490E89"/>
    <w:rsid w:val="0049101A"/>
    <w:rsid w:val="004910BD"/>
    <w:rsid w:val="004910D8"/>
    <w:rsid w:val="00491574"/>
    <w:rsid w:val="004915E2"/>
    <w:rsid w:val="004916B6"/>
    <w:rsid w:val="004921C9"/>
    <w:rsid w:val="0049231D"/>
    <w:rsid w:val="0049239B"/>
    <w:rsid w:val="00493482"/>
    <w:rsid w:val="004934C7"/>
    <w:rsid w:val="004937D1"/>
    <w:rsid w:val="00493BD6"/>
    <w:rsid w:val="00494089"/>
    <w:rsid w:val="004940D2"/>
    <w:rsid w:val="004941F2"/>
    <w:rsid w:val="004943A9"/>
    <w:rsid w:val="0049451A"/>
    <w:rsid w:val="00494A5D"/>
    <w:rsid w:val="00494E4A"/>
    <w:rsid w:val="00495253"/>
    <w:rsid w:val="004953EA"/>
    <w:rsid w:val="004955D9"/>
    <w:rsid w:val="00495CC5"/>
    <w:rsid w:val="00495EAE"/>
    <w:rsid w:val="004961AD"/>
    <w:rsid w:val="004961BE"/>
    <w:rsid w:val="00496220"/>
    <w:rsid w:val="00496240"/>
    <w:rsid w:val="0049625B"/>
    <w:rsid w:val="004962FB"/>
    <w:rsid w:val="00496E66"/>
    <w:rsid w:val="00497634"/>
    <w:rsid w:val="0049769E"/>
    <w:rsid w:val="00497BE3"/>
    <w:rsid w:val="00497D52"/>
    <w:rsid w:val="00497DF0"/>
    <w:rsid w:val="00497EB2"/>
    <w:rsid w:val="004A03DC"/>
    <w:rsid w:val="004A05B9"/>
    <w:rsid w:val="004A082A"/>
    <w:rsid w:val="004A09C2"/>
    <w:rsid w:val="004A12C4"/>
    <w:rsid w:val="004A14AF"/>
    <w:rsid w:val="004A1525"/>
    <w:rsid w:val="004A184C"/>
    <w:rsid w:val="004A1DC3"/>
    <w:rsid w:val="004A22B0"/>
    <w:rsid w:val="004A293E"/>
    <w:rsid w:val="004A2C05"/>
    <w:rsid w:val="004A2E6A"/>
    <w:rsid w:val="004A384C"/>
    <w:rsid w:val="004A39D2"/>
    <w:rsid w:val="004A3CCA"/>
    <w:rsid w:val="004A3E33"/>
    <w:rsid w:val="004A405D"/>
    <w:rsid w:val="004A41DA"/>
    <w:rsid w:val="004A4215"/>
    <w:rsid w:val="004A42F1"/>
    <w:rsid w:val="004A4369"/>
    <w:rsid w:val="004A44FB"/>
    <w:rsid w:val="004A4A5E"/>
    <w:rsid w:val="004A4C68"/>
    <w:rsid w:val="004A4E2F"/>
    <w:rsid w:val="004A56AD"/>
    <w:rsid w:val="004A5730"/>
    <w:rsid w:val="004A585D"/>
    <w:rsid w:val="004A60E7"/>
    <w:rsid w:val="004A63A9"/>
    <w:rsid w:val="004A68AF"/>
    <w:rsid w:val="004A692B"/>
    <w:rsid w:val="004A6C4A"/>
    <w:rsid w:val="004A6F97"/>
    <w:rsid w:val="004A6FD4"/>
    <w:rsid w:val="004A7108"/>
    <w:rsid w:val="004A71D6"/>
    <w:rsid w:val="004A7326"/>
    <w:rsid w:val="004A739D"/>
    <w:rsid w:val="004A7A24"/>
    <w:rsid w:val="004A7A64"/>
    <w:rsid w:val="004A7CCD"/>
    <w:rsid w:val="004A7F02"/>
    <w:rsid w:val="004B008B"/>
    <w:rsid w:val="004B0271"/>
    <w:rsid w:val="004B0814"/>
    <w:rsid w:val="004B085F"/>
    <w:rsid w:val="004B096B"/>
    <w:rsid w:val="004B0ACE"/>
    <w:rsid w:val="004B0EC4"/>
    <w:rsid w:val="004B12F2"/>
    <w:rsid w:val="004B153E"/>
    <w:rsid w:val="004B1B1B"/>
    <w:rsid w:val="004B1E50"/>
    <w:rsid w:val="004B2068"/>
    <w:rsid w:val="004B226F"/>
    <w:rsid w:val="004B22AA"/>
    <w:rsid w:val="004B2543"/>
    <w:rsid w:val="004B2A16"/>
    <w:rsid w:val="004B2EBB"/>
    <w:rsid w:val="004B3175"/>
    <w:rsid w:val="004B3A7B"/>
    <w:rsid w:val="004B3C3B"/>
    <w:rsid w:val="004B3C5E"/>
    <w:rsid w:val="004B3EEE"/>
    <w:rsid w:val="004B43DE"/>
    <w:rsid w:val="004B43F7"/>
    <w:rsid w:val="004B48F6"/>
    <w:rsid w:val="004B5211"/>
    <w:rsid w:val="004B59B7"/>
    <w:rsid w:val="004B6E6C"/>
    <w:rsid w:val="004B6EF0"/>
    <w:rsid w:val="004B6FD2"/>
    <w:rsid w:val="004B729C"/>
    <w:rsid w:val="004B7307"/>
    <w:rsid w:val="004B762C"/>
    <w:rsid w:val="004B795D"/>
    <w:rsid w:val="004B798D"/>
    <w:rsid w:val="004B7E02"/>
    <w:rsid w:val="004C0117"/>
    <w:rsid w:val="004C029A"/>
    <w:rsid w:val="004C03BA"/>
    <w:rsid w:val="004C0412"/>
    <w:rsid w:val="004C073C"/>
    <w:rsid w:val="004C0E29"/>
    <w:rsid w:val="004C12C3"/>
    <w:rsid w:val="004C1712"/>
    <w:rsid w:val="004C1D8D"/>
    <w:rsid w:val="004C1F35"/>
    <w:rsid w:val="004C1FAB"/>
    <w:rsid w:val="004C22E2"/>
    <w:rsid w:val="004C2608"/>
    <w:rsid w:val="004C28EF"/>
    <w:rsid w:val="004C293B"/>
    <w:rsid w:val="004C2985"/>
    <w:rsid w:val="004C29C0"/>
    <w:rsid w:val="004C2B0A"/>
    <w:rsid w:val="004C2F86"/>
    <w:rsid w:val="004C376E"/>
    <w:rsid w:val="004C3C43"/>
    <w:rsid w:val="004C3C4B"/>
    <w:rsid w:val="004C446D"/>
    <w:rsid w:val="004C459D"/>
    <w:rsid w:val="004C4E58"/>
    <w:rsid w:val="004C50D0"/>
    <w:rsid w:val="004C5492"/>
    <w:rsid w:val="004C552E"/>
    <w:rsid w:val="004C553F"/>
    <w:rsid w:val="004C5684"/>
    <w:rsid w:val="004C5A33"/>
    <w:rsid w:val="004C5C5C"/>
    <w:rsid w:val="004C5E07"/>
    <w:rsid w:val="004C5EEF"/>
    <w:rsid w:val="004C6070"/>
    <w:rsid w:val="004C64BB"/>
    <w:rsid w:val="004C662E"/>
    <w:rsid w:val="004C670E"/>
    <w:rsid w:val="004C6904"/>
    <w:rsid w:val="004C6A51"/>
    <w:rsid w:val="004C6AA3"/>
    <w:rsid w:val="004C6CB3"/>
    <w:rsid w:val="004C6E05"/>
    <w:rsid w:val="004C6EA6"/>
    <w:rsid w:val="004C6EFD"/>
    <w:rsid w:val="004C6FA2"/>
    <w:rsid w:val="004C7777"/>
    <w:rsid w:val="004C7997"/>
    <w:rsid w:val="004C7AA4"/>
    <w:rsid w:val="004C7E0F"/>
    <w:rsid w:val="004D1059"/>
    <w:rsid w:val="004D10DA"/>
    <w:rsid w:val="004D1166"/>
    <w:rsid w:val="004D1948"/>
    <w:rsid w:val="004D1A2D"/>
    <w:rsid w:val="004D1C1F"/>
    <w:rsid w:val="004D1E43"/>
    <w:rsid w:val="004D2066"/>
    <w:rsid w:val="004D245A"/>
    <w:rsid w:val="004D2599"/>
    <w:rsid w:val="004D3167"/>
    <w:rsid w:val="004D31FC"/>
    <w:rsid w:val="004D3254"/>
    <w:rsid w:val="004D3519"/>
    <w:rsid w:val="004D375B"/>
    <w:rsid w:val="004D380B"/>
    <w:rsid w:val="004D393C"/>
    <w:rsid w:val="004D3AF9"/>
    <w:rsid w:val="004D3F82"/>
    <w:rsid w:val="004D415A"/>
    <w:rsid w:val="004D43B3"/>
    <w:rsid w:val="004D4692"/>
    <w:rsid w:val="004D4B77"/>
    <w:rsid w:val="004D4C4F"/>
    <w:rsid w:val="004D50A7"/>
    <w:rsid w:val="004D54CF"/>
    <w:rsid w:val="004D5C5A"/>
    <w:rsid w:val="004D5FFD"/>
    <w:rsid w:val="004D6764"/>
    <w:rsid w:val="004D67DF"/>
    <w:rsid w:val="004D6B9E"/>
    <w:rsid w:val="004D6BAC"/>
    <w:rsid w:val="004D6F32"/>
    <w:rsid w:val="004D740D"/>
    <w:rsid w:val="004D7994"/>
    <w:rsid w:val="004D7E3A"/>
    <w:rsid w:val="004E0051"/>
    <w:rsid w:val="004E04A4"/>
    <w:rsid w:val="004E0802"/>
    <w:rsid w:val="004E0CAF"/>
    <w:rsid w:val="004E0F24"/>
    <w:rsid w:val="004E11AE"/>
    <w:rsid w:val="004E15A0"/>
    <w:rsid w:val="004E1798"/>
    <w:rsid w:val="004E1E2C"/>
    <w:rsid w:val="004E1E5C"/>
    <w:rsid w:val="004E204E"/>
    <w:rsid w:val="004E22FD"/>
    <w:rsid w:val="004E28C0"/>
    <w:rsid w:val="004E2B2F"/>
    <w:rsid w:val="004E2C5C"/>
    <w:rsid w:val="004E30A8"/>
    <w:rsid w:val="004E3148"/>
    <w:rsid w:val="004E31B1"/>
    <w:rsid w:val="004E3253"/>
    <w:rsid w:val="004E32EC"/>
    <w:rsid w:val="004E35D7"/>
    <w:rsid w:val="004E35DF"/>
    <w:rsid w:val="004E3AA6"/>
    <w:rsid w:val="004E3D5E"/>
    <w:rsid w:val="004E4003"/>
    <w:rsid w:val="004E4513"/>
    <w:rsid w:val="004E4AD3"/>
    <w:rsid w:val="004E4B3C"/>
    <w:rsid w:val="004E4B93"/>
    <w:rsid w:val="004E4D75"/>
    <w:rsid w:val="004E4F27"/>
    <w:rsid w:val="004E4F62"/>
    <w:rsid w:val="004E5A32"/>
    <w:rsid w:val="004E625E"/>
    <w:rsid w:val="004E6293"/>
    <w:rsid w:val="004E63BC"/>
    <w:rsid w:val="004E67D8"/>
    <w:rsid w:val="004E6A25"/>
    <w:rsid w:val="004E6BBF"/>
    <w:rsid w:val="004E6E77"/>
    <w:rsid w:val="004E7015"/>
    <w:rsid w:val="004E70ED"/>
    <w:rsid w:val="004E747C"/>
    <w:rsid w:val="004E77F2"/>
    <w:rsid w:val="004E7E31"/>
    <w:rsid w:val="004E7E92"/>
    <w:rsid w:val="004E7F7C"/>
    <w:rsid w:val="004F00FC"/>
    <w:rsid w:val="004F021B"/>
    <w:rsid w:val="004F04C5"/>
    <w:rsid w:val="004F0877"/>
    <w:rsid w:val="004F0F03"/>
    <w:rsid w:val="004F0F31"/>
    <w:rsid w:val="004F14DC"/>
    <w:rsid w:val="004F14E0"/>
    <w:rsid w:val="004F1856"/>
    <w:rsid w:val="004F1C00"/>
    <w:rsid w:val="004F224E"/>
    <w:rsid w:val="004F23A5"/>
    <w:rsid w:val="004F2646"/>
    <w:rsid w:val="004F2CC8"/>
    <w:rsid w:val="004F2CFB"/>
    <w:rsid w:val="004F2FFF"/>
    <w:rsid w:val="004F3525"/>
    <w:rsid w:val="004F376F"/>
    <w:rsid w:val="004F38D9"/>
    <w:rsid w:val="004F3C5C"/>
    <w:rsid w:val="004F405A"/>
    <w:rsid w:val="004F4B2E"/>
    <w:rsid w:val="004F512C"/>
    <w:rsid w:val="004F54DB"/>
    <w:rsid w:val="004F5654"/>
    <w:rsid w:val="004F57B2"/>
    <w:rsid w:val="004F5903"/>
    <w:rsid w:val="004F5A70"/>
    <w:rsid w:val="004F5B15"/>
    <w:rsid w:val="004F5F0A"/>
    <w:rsid w:val="004F65A3"/>
    <w:rsid w:val="004F6B86"/>
    <w:rsid w:val="004F70D2"/>
    <w:rsid w:val="004F7274"/>
    <w:rsid w:val="004F72B9"/>
    <w:rsid w:val="004F772B"/>
    <w:rsid w:val="004F7F6A"/>
    <w:rsid w:val="005002DE"/>
    <w:rsid w:val="005020AE"/>
    <w:rsid w:val="005022B3"/>
    <w:rsid w:val="005024B3"/>
    <w:rsid w:val="005025EF"/>
    <w:rsid w:val="00502FD4"/>
    <w:rsid w:val="00503651"/>
    <w:rsid w:val="00503F18"/>
    <w:rsid w:val="0050416D"/>
    <w:rsid w:val="005041DC"/>
    <w:rsid w:val="00504440"/>
    <w:rsid w:val="00504450"/>
    <w:rsid w:val="00504688"/>
    <w:rsid w:val="0050493D"/>
    <w:rsid w:val="00504A26"/>
    <w:rsid w:val="00504A97"/>
    <w:rsid w:val="005050AB"/>
    <w:rsid w:val="00505228"/>
    <w:rsid w:val="0050563A"/>
    <w:rsid w:val="00505BB2"/>
    <w:rsid w:val="00505E51"/>
    <w:rsid w:val="00505EAE"/>
    <w:rsid w:val="00505EE5"/>
    <w:rsid w:val="00505FEE"/>
    <w:rsid w:val="0050626E"/>
    <w:rsid w:val="00506A5A"/>
    <w:rsid w:val="00506C46"/>
    <w:rsid w:val="00506C67"/>
    <w:rsid w:val="00506ECB"/>
    <w:rsid w:val="00506FC2"/>
    <w:rsid w:val="005070C1"/>
    <w:rsid w:val="00507315"/>
    <w:rsid w:val="00507324"/>
    <w:rsid w:val="00507516"/>
    <w:rsid w:val="005075A9"/>
    <w:rsid w:val="00507B49"/>
    <w:rsid w:val="00507DD0"/>
    <w:rsid w:val="00510354"/>
    <w:rsid w:val="0051057A"/>
    <w:rsid w:val="0051080D"/>
    <w:rsid w:val="00510892"/>
    <w:rsid w:val="00510CA4"/>
    <w:rsid w:val="005110E2"/>
    <w:rsid w:val="00511162"/>
    <w:rsid w:val="00511281"/>
    <w:rsid w:val="005112F6"/>
    <w:rsid w:val="00511D53"/>
    <w:rsid w:val="00511E73"/>
    <w:rsid w:val="005122F7"/>
    <w:rsid w:val="00512469"/>
    <w:rsid w:val="00512833"/>
    <w:rsid w:val="00512B5E"/>
    <w:rsid w:val="00512E5F"/>
    <w:rsid w:val="005133D9"/>
    <w:rsid w:val="0051374F"/>
    <w:rsid w:val="00513D9B"/>
    <w:rsid w:val="00514999"/>
    <w:rsid w:val="00514A5B"/>
    <w:rsid w:val="00514D43"/>
    <w:rsid w:val="005157A6"/>
    <w:rsid w:val="0051620D"/>
    <w:rsid w:val="005162FB"/>
    <w:rsid w:val="00516462"/>
    <w:rsid w:val="00516471"/>
    <w:rsid w:val="00516816"/>
    <w:rsid w:val="00516ABF"/>
    <w:rsid w:val="00516AC0"/>
    <w:rsid w:val="00516FAC"/>
    <w:rsid w:val="0051700D"/>
    <w:rsid w:val="005171B9"/>
    <w:rsid w:val="0051737F"/>
    <w:rsid w:val="005176F5"/>
    <w:rsid w:val="00517811"/>
    <w:rsid w:val="00517983"/>
    <w:rsid w:val="00517E57"/>
    <w:rsid w:val="00517E86"/>
    <w:rsid w:val="00517F2F"/>
    <w:rsid w:val="0052099C"/>
    <w:rsid w:val="005209F9"/>
    <w:rsid w:val="00520B3B"/>
    <w:rsid w:val="00520CEF"/>
    <w:rsid w:val="00521467"/>
    <w:rsid w:val="005216BB"/>
    <w:rsid w:val="005219FF"/>
    <w:rsid w:val="0052217B"/>
    <w:rsid w:val="00522507"/>
    <w:rsid w:val="00522527"/>
    <w:rsid w:val="00522610"/>
    <w:rsid w:val="005229F9"/>
    <w:rsid w:val="005230A7"/>
    <w:rsid w:val="0052317E"/>
    <w:rsid w:val="00523769"/>
    <w:rsid w:val="0052382F"/>
    <w:rsid w:val="00523AB0"/>
    <w:rsid w:val="00523E64"/>
    <w:rsid w:val="00524045"/>
    <w:rsid w:val="00524135"/>
    <w:rsid w:val="00524267"/>
    <w:rsid w:val="005243E6"/>
    <w:rsid w:val="00524454"/>
    <w:rsid w:val="00524956"/>
    <w:rsid w:val="00524CE3"/>
    <w:rsid w:val="00524CF2"/>
    <w:rsid w:val="005250CE"/>
    <w:rsid w:val="005251E6"/>
    <w:rsid w:val="005257E2"/>
    <w:rsid w:val="00525A3A"/>
    <w:rsid w:val="00525AD8"/>
    <w:rsid w:val="00525BFA"/>
    <w:rsid w:val="00525D6D"/>
    <w:rsid w:val="00526481"/>
    <w:rsid w:val="005265A0"/>
    <w:rsid w:val="005265AD"/>
    <w:rsid w:val="00526D72"/>
    <w:rsid w:val="00526D94"/>
    <w:rsid w:val="00526E47"/>
    <w:rsid w:val="0052738D"/>
    <w:rsid w:val="005273DB"/>
    <w:rsid w:val="0052774A"/>
    <w:rsid w:val="0052776C"/>
    <w:rsid w:val="00527BEB"/>
    <w:rsid w:val="00527D83"/>
    <w:rsid w:val="00530108"/>
    <w:rsid w:val="00530330"/>
    <w:rsid w:val="0053040E"/>
    <w:rsid w:val="0053077B"/>
    <w:rsid w:val="00530806"/>
    <w:rsid w:val="00530B5F"/>
    <w:rsid w:val="00530D83"/>
    <w:rsid w:val="00531198"/>
    <w:rsid w:val="00531B1B"/>
    <w:rsid w:val="00531FF1"/>
    <w:rsid w:val="00532035"/>
    <w:rsid w:val="005323C5"/>
    <w:rsid w:val="00532602"/>
    <w:rsid w:val="005326E3"/>
    <w:rsid w:val="00532891"/>
    <w:rsid w:val="00532D07"/>
    <w:rsid w:val="00532DA2"/>
    <w:rsid w:val="00533037"/>
    <w:rsid w:val="00533211"/>
    <w:rsid w:val="005333FF"/>
    <w:rsid w:val="005335D4"/>
    <w:rsid w:val="00533697"/>
    <w:rsid w:val="005343F8"/>
    <w:rsid w:val="0053442F"/>
    <w:rsid w:val="00534989"/>
    <w:rsid w:val="005349F5"/>
    <w:rsid w:val="00534A0B"/>
    <w:rsid w:val="00534E01"/>
    <w:rsid w:val="00534EB8"/>
    <w:rsid w:val="00535231"/>
    <w:rsid w:val="00535946"/>
    <w:rsid w:val="0053594B"/>
    <w:rsid w:val="00535BF0"/>
    <w:rsid w:val="00535E2F"/>
    <w:rsid w:val="005362F4"/>
    <w:rsid w:val="005363B4"/>
    <w:rsid w:val="00536A3C"/>
    <w:rsid w:val="00536F6E"/>
    <w:rsid w:val="00537254"/>
    <w:rsid w:val="005374FA"/>
    <w:rsid w:val="005401D5"/>
    <w:rsid w:val="005402E1"/>
    <w:rsid w:val="005406A6"/>
    <w:rsid w:val="005407B0"/>
    <w:rsid w:val="005409D6"/>
    <w:rsid w:val="005409E4"/>
    <w:rsid w:val="00540AC2"/>
    <w:rsid w:val="00540B00"/>
    <w:rsid w:val="00540BE9"/>
    <w:rsid w:val="00540C7C"/>
    <w:rsid w:val="00541440"/>
    <w:rsid w:val="00541964"/>
    <w:rsid w:val="00541F22"/>
    <w:rsid w:val="00541FAA"/>
    <w:rsid w:val="00542000"/>
    <w:rsid w:val="00542113"/>
    <w:rsid w:val="0054236B"/>
    <w:rsid w:val="005425C7"/>
    <w:rsid w:val="00542632"/>
    <w:rsid w:val="005427A2"/>
    <w:rsid w:val="00542A93"/>
    <w:rsid w:val="00542E3E"/>
    <w:rsid w:val="00542F52"/>
    <w:rsid w:val="005432C9"/>
    <w:rsid w:val="00543D4C"/>
    <w:rsid w:val="00543FCE"/>
    <w:rsid w:val="005441F6"/>
    <w:rsid w:val="00544AEC"/>
    <w:rsid w:val="0054524F"/>
    <w:rsid w:val="00545515"/>
    <w:rsid w:val="005457CD"/>
    <w:rsid w:val="00545A75"/>
    <w:rsid w:val="00545AEC"/>
    <w:rsid w:val="00545B20"/>
    <w:rsid w:val="00546124"/>
    <w:rsid w:val="005464E6"/>
    <w:rsid w:val="0054661E"/>
    <w:rsid w:val="00546A67"/>
    <w:rsid w:val="00546F0B"/>
    <w:rsid w:val="00546FA6"/>
    <w:rsid w:val="005470F6"/>
    <w:rsid w:val="00547A83"/>
    <w:rsid w:val="00547AA9"/>
    <w:rsid w:val="00547B37"/>
    <w:rsid w:val="00547C53"/>
    <w:rsid w:val="005502A5"/>
    <w:rsid w:val="0055036D"/>
    <w:rsid w:val="00550756"/>
    <w:rsid w:val="005508C2"/>
    <w:rsid w:val="00550DD6"/>
    <w:rsid w:val="0055183A"/>
    <w:rsid w:val="00551A4A"/>
    <w:rsid w:val="00551C50"/>
    <w:rsid w:val="005520DB"/>
    <w:rsid w:val="005521FA"/>
    <w:rsid w:val="0055226D"/>
    <w:rsid w:val="005522AB"/>
    <w:rsid w:val="00552793"/>
    <w:rsid w:val="00552A5E"/>
    <w:rsid w:val="00552B56"/>
    <w:rsid w:val="00552DAB"/>
    <w:rsid w:val="00553077"/>
    <w:rsid w:val="00553947"/>
    <w:rsid w:val="00553AD0"/>
    <w:rsid w:val="00553B97"/>
    <w:rsid w:val="00553BF2"/>
    <w:rsid w:val="00553C2A"/>
    <w:rsid w:val="00553CF2"/>
    <w:rsid w:val="00553DB8"/>
    <w:rsid w:val="00553E2C"/>
    <w:rsid w:val="00553EFD"/>
    <w:rsid w:val="0055483A"/>
    <w:rsid w:val="00554A51"/>
    <w:rsid w:val="00554AAD"/>
    <w:rsid w:val="00554D4C"/>
    <w:rsid w:val="0055527C"/>
    <w:rsid w:val="00555AA2"/>
    <w:rsid w:val="00555AAE"/>
    <w:rsid w:val="00555F4E"/>
    <w:rsid w:val="00556F66"/>
    <w:rsid w:val="00557149"/>
    <w:rsid w:val="005573F4"/>
    <w:rsid w:val="005574C7"/>
    <w:rsid w:val="0055790C"/>
    <w:rsid w:val="00557A68"/>
    <w:rsid w:val="00557D57"/>
    <w:rsid w:val="005602B2"/>
    <w:rsid w:val="005603A1"/>
    <w:rsid w:val="00560722"/>
    <w:rsid w:val="00560B4A"/>
    <w:rsid w:val="00560C45"/>
    <w:rsid w:val="00560D51"/>
    <w:rsid w:val="00560E51"/>
    <w:rsid w:val="0056130A"/>
    <w:rsid w:val="0056185F"/>
    <w:rsid w:val="00561970"/>
    <w:rsid w:val="005619D9"/>
    <w:rsid w:val="00561BC8"/>
    <w:rsid w:val="00561CF9"/>
    <w:rsid w:val="00561D68"/>
    <w:rsid w:val="00561E5C"/>
    <w:rsid w:val="00561FAA"/>
    <w:rsid w:val="005624EB"/>
    <w:rsid w:val="00562660"/>
    <w:rsid w:val="00562A43"/>
    <w:rsid w:val="005631E6"/>
    <w:rsid w:val="00563705"/>
    <w:rsid w:val="00564182"/>
    <w:rsid w:val="0056457A"/>
    <w:rsid w:val="00564AB6"/>
    <w:rsid w:val="00564DC4"/>
    <w:rsid w:val="00564F6F"/>
    <w:rsid w:val="00565547"/>
    <w:rsid w:val="00565822"/>
    <w:rsid w:val="005659E3"/>
    <w:rsid w:val="00566567"/>
    <w:rsid w:val="00566E1F"/>
    <w:rsid w:val="0056734D"/>
    <w:rsid w:val="005674A0"/>
    <w:rsid w:val="00567CDC"/>
    <w:rsid w:val="00570052"/>
    <w:rsid w:val="005706F9"/>
    <w:rsid w:val="005707A6"/>
    <w:rsid w:val="00570807"/>
    <w:rsid w:val="00570A39"/>
    <w:rsid w:val="00570F07"/>
    <w:rsid w:val="005713A5"/>
    <w:rsid w:val="0057172F"/>
    <w:rsid w:val="00571855"/>
    <w:rsid w:val="00571C41"/>
    <w:rsid w:val="00571C78"/>
    <w:rsid w:val="00571CF1"/>
    <w:rsid w:val="00572030"/>
    <w:rsid w:val="00572D97"/>
    <w:rsid w:val="00573041"/>
    <w:rsid w:val="0057332A"/>
    <w:rsid w:val="0057365F"/>
    <w:rsid w:val="005736F0"/>
    <w:rsid w:val="005737E1"/>
    <w:rsid w:val="00573CFB"/>
    <w:rsid w:val="00574226"/>
    <w:rsid w:val="005742E0"/>
    <w:rsid w:val="00574421"/>
    <w:rsid w:val="005749B6"/>
    <w:rsid w:val="00574F28"/>
    <w:rsid w:val="0057537B"/>
    <w:rsid w:val="00575439"/>
    <w:rsid w:val="0057586B"/>
    <w:rsid w:val="005758A6"/>
    <w:rsid w:val="00575DA1"/>
    <w:rsid w:val="005761A8"/>
    <w:rsid w:val="0057643A"/>
    <w:rsid w:val="00576552"/>
    <w:rsid w:val="00576582"/>
    <w:rsid w:val="00576627"/>
    <w:rsid w:val="00576771"/>
    <w:rsid w:val="005767B4"/>
    <w:rsid w:val="005774FE"/>
    <w:rsid w:val="0057764B"/>
    <w:rsid w:val="005778B4"/>
    <w:rsid w:val="00577A66"/>
    <w:rsid w:val="00577F8E"/>
    <w:rsid w:val="00577FFA"/>
    <w:rsid w:val="00580246"/>
    <w:rsid w:val="00580321"/>
    <w:rsid w:val="00580BD9"/>
    <w:rsid w:val="00580C83"/>
    <w:rsid w:val="00580DE2"/>
    <w:rsid w:val="00581283"/>
    <w:rsid w:val="0058173C"/>
    <w:rsid w:val="00581C45"/>
    <w:rsid w:val="00581CE3"/>
    <w:rsid w:val="00581EC9"/>
    <w:rsid w:val="00581F36"/>
    <w:rsid w:val="00582005"/>
    <w:rsid w:val="00582236"/>
    <w:rsid w:val="005823E1"/>
    <w:rsid w:val="00582758"/>
    <w:rsid w:val="00582D58"/>
    <w:rsid w:val="00583154"/>
    <w:rsid w:val="00583329"/>
    <w:rsid w:val="00583427"/>
    <w:rsid w:val="00583A70"/>
    <w:rsid w:val="00583B95"/>
    <w:rsid w:val="00584264"/>
    <w:rsid w:val="0058428F"/>
    <w:rsid w:val="005843FD"/>
    <w:rsid w:val="00584ECD"/>
    <w:rsid w:val="0058528F"/>
    <w:rsid w:val="005852A2"/>
    <w:rsid w:val="005853A0"/>
    <w:rsid w:val="005858E5"/>
    <w:rsid w:val="00585CB7"/>
    <w:rsid w:val="00585E1F"/>
    <w:rsid w:val="00586365"/>
    <w:rsid w:val="00586F30"/>
    <w:rsid w:val="00587474"/>
    <w:rsid w:val="00587931"/>
    <w:rsid w:val="00590309"/>
    <w:rsid w:val="00590324"/>
    <w:rsid w:val="0059054C"/>
    <w:rsid w:val="005906F5"/>
    <w:rsid w:val="00590B8F"/>
    <w:rsid w:val="00590DF9"/>
    <w:rsid w:val="0059102B"/>
    <w:rsid w:val="00591226"/>
    <w:rsid w:val="00591306"/>
    <w:rsid w:val="0059131B"/>
    <w:rsid w:val="00591721"/>
    <w:rsid w:val="005918F6"/>
    <w:rsid w:val="00591930"/>
    <w:rsid w:val="00591FDF"/>
    <w:rsid w:val="0059221E"/>
    <w:rsid w:val="00592384"/>
    <w:rsid w:val="00592F96"/>
    <w:rsid w:val="00592FB6"/>
    <w:rsid w:val="00593226"/>
    <w:rsid w:val="00593497"/>
    <w:rsid w:val="00593FC2"/>
    <w:rsid w:val="00593FE7"/>
    <w:rsid w:val="00594036"/>
    <w:rsid w:val="005942BA"/>
    <w:rsid w:val="00594313"/>
    <w:rsid w:val="00594538"/>
    <w:rsid w:val="0059463F"/>
    <w:rsid w:val="00594755"/>
    <w:rsid w:val="0059493E"/>
    <w:rsid w:val="00594989"/>
    <w:rsid w:val="00594E54"/>
    <w:rsid w:val="00594F0F"/>
    <w:rsid w:val="005950D6"/>
    <w:rsid w:val="00595388"/>
    <w:rsid w:val="005955C8"/>
    <w:rsid w:val="0059622B"/>
    <w:rsid w:val="00596B01"/>
    <w:rsid w:val="005971E8"/>
    <w:rsid w:val="005974CF"/>
    <w:rsid w:val="00597568"/>
    <w:rsid w:val="0059774B"/>
    <w:rsid w:val="00597C6D"/>
    <w:rsid w:val="00597C88"/>
    <w:rsid w:val="00597D19"/>
    <w:rsid w:val="00597EFB"/>
    <w:rsid w:val="005A0C95"/>
    <w:rsid w:val="005A0F91"/>
    <w:rsid w:val="005A1458"/>
    <w:rsid w:val="005A1520"/>
    <w:rsid w:val="005A1CE2"/>
    <w:rsid w:val="005A21E5"/>
    <w:rsid w:val="005A22D8"/>
    <w:rsid w:val="005A2436"/>
    <w:rsid w:val="005A26CC"/>
    <w:rsid w:val="005A283A"/>
    <w:rsid w:val="005A2A0D"/>
    <w:rsid w:val="005A2A2D"/>
    <w:rsid w:val="005A2B4F"/>
    <w:rsid w:val="005A3547"/>
    <w:rsid w:val="005A3751"/>
    <w:rsid w:val="005A3793"/>
    <w:rsid w:val="005A3C21"/>
    <w:rsid w:val="005A407C"/>
    <w:rsid w:val="005A40C1"/>
    <w:rsid w:val="005A4418"/>
    <w:rsid w:val="005A48D1"/>
    <w:rsid w:val="005A5208"/>
    <w:rsid w:val="005A5370"/>
    <w:rsid w:val="005A5501"/>
    <w:rsid w:val="005A5C63"/>
    <w:rsid w:val="005A5D1F"/>
    <w:rsid w:val="005A5FBB"/>
    <w:rsid w:val="005A629B"/>
    <w:rsid w:val="005A656A"/>
    <w:rsid w:val="005A67FE"/>
    <w:rsid w:val="005A6A3A"/>
    <w:rsid w:val="005A6B9D"/>
    <w:rsid w:val="005A6C4F"/>
    <w:rsid w:val="005A7472"/>
    <w:rsid w:val="005A77DC"/>
    <w:rsid w:val="005A77F6"/>
    <w:rsid w:val="005A790E"/>
    <w:rsid w:val="005A7E74"/>
    <w:rsid w:val="005B02D8"/>
    <w:rsid w:val="005B0509"/>
    <w:rsid w:val="005B05EB"/>
    <w:rsid w:val="005B0A1D"/>
    <w:rsid w:val="005B112A"/>
    <w:rsid w:val="005B154F"/>
    <w:rsid w:val="005B16A7"/>
    <w:rsid w:val="005B16C4"/>
    <w:rsid w:val="005B2147"/>
    <w:rsid w:val="005B2169"/>
    <w:rsid w:val="005B26A6"/>
    <w:rsid w:val="005B2722"/>
    <w:rsid w:val="005B2794"/>
    <w:rsid w:val="005B2812"/>
    <w:rsid w:val="005B2978"/>
    <w:rsid w:val="005B2D19"/>
    <w:rsid w:val="005B2E5E"/>
    <w:rsid w:val="005B36D7"/>
    <w:rsid w:val="005B3998"/>
    <w:rsid w:val="005B3A1B"/>
    <w:rsid w:val="005B4130"/>
    <w:rsid w:val="005B4204"/>
    <w:rsid w:val="005B4380"/>
    <w:rsid w:val="005B4EAA"/>
    <w:rsid w:val="005B4F1E"/>
    <w:rsid w:val="005B54FE"/>
    <w:rsid w:val="005B55F2"/>
    <w:rsid w:val="005B5BA7"/>
    <w:rsid w:val="005B5E3B"/>
    <w:rsid w:val="005B6058"/>
    <w:rsid w:val="005B6318"/>
    <w:rsid w:val="005B6B47"/>
    <w:rsid w:val="005B6C5E"/>
    <w:rsid w:val="005B6F4A"/>
    <w:rsid w:val="005B73A1"/>
    <w:rsid w:val="005B73D4"/>
    <w:rsid w:val="005B7712"/>
    <w:rsid w:val="005B7A56"/>
    <w:rsid w:val="005B7CD3"/>
    <w:rsid w:val="005B7D5B"/>
    <w:rsid w:val="005B7F22"/>
    <w:rsid w:val="005B7FB6"/>
    <w:rsid w:val="005C014A"/>
    <w:rsid w:val="005C01B8"/>
    <w:rsid w:val="005C088D"/>
    <w:rsid w:val="005C08BA"/>
    <w:rsid w:val="005C1523"/>
    <w:rsid w:val="005C165E"/>
    <w:rsid w:val="005C1825"/>
    <w:rsid w:val="005C1E66"/>
    <w:rsid w:val="005C3258"/>
    <w:rsid w:val="005C3455"/>
    <w:rsid w:val="005C3771"/>
    <w:rsid w:val="005C3B1A"/>
    <w:rsid w:val="005C3DE2"/>
    <w:rsid w:val="005C3F5C"/>
    <w:rsid w:val="005C3FB3"/>
    <w:rsid w:val="005C42C4"/>
    <w:rsid w:val="005C4DD6"/>
    <w:rsid w:val="005C4F08"/>
    <w:rsid w:val="005C4FB3"/>
    <w:rsid w:val="005C64B1"/>
    <w:rsid w:val="005C652B"/>
    <w:rsid w:val="005C689A"/>
    <w:rsid w:val="005C6EBF"/>
    <w:rsid w:val="005C716E"/>
    <w:rsid w:val="005C73DE"/>
    <w:rsid w:val="005C7564"/>
    <w:rsid w:val="005C76C9"/>
    <w:rsid w:val="005C77AE"/>
    <w:rsid w:val="005C7928"/>
    <w:rsid w:val="005D03C0"/>
    <w:rsid w:val="005D047E"/>
    <w:rsid w:val="005D0822"/>
    <w:rsid w:val="005D0C43"/>
    <w:rsid w:val="005D0CE8"/>
    <w:rsid w:val="005D1376"/>
    <w:rsid w:val="005D1AEE"/>
    <w:rsid w:val="005D2545"/>
    <w:rsid w:val="005D2C8E"/>
    <w:rsid w:val="005D3245"/>
    <w:rsid w:val="005D32C7"/>
    <w:rsid w:val="005D32FC"/>
    <w:rsid w:val="005D35F0"/>
    <w:rsid w:val="005D367A"/>
    <w:rsid w:val="005D3C45"/>
    <w:rsid w:val="005D4015"/>
    <w:rsid w:val="005D4081"/>
    <w:rsid w:val="005D41A2"/>
    <w:rsid w:val="005D48CC"/>
    <w:rsid w:val="005D499A"/>
    <w:rsid w:val="005D4F48"/>
    <w:rsid w:val="005D4F92"/>
    <w:rsid w:val="005D50EF"/>
    <w:rsid w:val="005D56B5"/>
    <w:rsid w:val="005D621B"/>
    <w:rsid w:val="005D637A"/>
    <w:rsid w:val="005D662E"/>
    <w:rsid w:val="005D68D4"/>
    <w:rsid w:val="005D6972"/>
    <w:rsid w:val="005D6B2D"/>
    <w:rsid w:val="005D77C6"/>
    <w:rsid w:val="005D781B"/>
    <w:rsid w:val="005D7F71"/>
    <w:rsid w:val="005E0C67"/>
    <w:rsid w:val="005E0CE4"/>
    <w:rsid w:val="005E1356"/>
    <w:rsid w:val="005E14F7"/>
    <w:rsid w:val="005E1830"/>
    <w:rsid w:val="005E1BAE"/>
    <w:rsid w:val="005E22BC"/>
    <w:rsid w:val="005E23FE"/>
    <w:rsid w:val="005E256D"/>
    <w:rsid w:val="005E2A64"/>
    <w:rsid w:val="005E2C4E"/>
    <w:rsid w:val="005E2F63"/>
    <w:rsid w:val="005E313E"/>
    <w:rsid w:val="005E37A1"/>
    <w:rsid w:val="005E398F"/>
    <w:rsid w:val="005E3C70"/>
    <w:rsid w:val="005E3CCD"/>
    <w:rsid w:val="005E3EED"/>
    <w:rsid w:val="005E46A0"/>
    <w:rsid w:val="005E4A3B"/>
    <w:rsid w:val="005E4A4B"/>
    <w:rsid w:val="005E4DC7"/>
    <w:rsid w:val="005E515B"/>
    <w:rsid w:val="005E51EE"/>
    <w:rsid w:val="005E58A2"/>
    <w:rsid w:val="005E58E7"/>
    <w:rsid w:val="005E5C5B"/>
    <w:rsid w:val="005E5C99"/>
    <w:rsid w:val="005E5F4B"/>
    <w:rsid w:val="005E615A"/>
    <w:rsid w:val="005E62E9"/>
    <w:rsid w:val="005E6906"/>
    <w:rsid w:val="005E699B"/>
    <w:rsid w:val="005E69AE"/>
    <w:rsid w:val="005E6EF4"/>
    <w:rsid w:val="005E7363"/>
    <w:rsid w:val="005E75B7"/>
    <w:rsid w:val="005E7666"/>
    <w:rsid w:val="005E767F"/>
    <w:rsid w:val="005E7862"/>
    <w:rsid w:val="005E7AEC"/>
    <w:rsid w:val="005E7E7A"/>
    <w:rsid w:val="005E7E88"/>
    <w:rsid w:val="005F0041"/>
    <w:rsid w:val="005F0122"/>
    <w:rsid w:val="005F0188"/>
    <w:rsid w:val="005F0878"/>
    <w:rsid w:val="005F09D9"/>
    <w:rsid w:val="005F2098"/>
    <w:rsid w:val="005F2ECA"/>
    <w:rsid w:val="005F2F18"/>
    <w:rsid w:val="005F3308"/>
    <w:rsid w:val="005F3B97"/>
    <w:rsid w:val="005F3C7D"/>
    <w:rsid w:val="005F3DEA"/>
    <w:rsid w:val="005F3FB4"/>
    <w:rsid w:val="005F403B"/>
    <w:rsid w:val="005F44B6"/>
    <w:rsid w:val="005F462E"/>
    <w:rsid w:val="005F4AEA"/>
    <w:rsid w:val="005F4D56"/>
    <w:rsid w:val="005F50FC"/>
    <w:rsid w:val="005F5CB3"/>
    <w:rsid w:val="005F5D02"/>
    <w:rsid w:val="005F65DE"/>
    <w:rsid w:val="005F73FE"/>
    <w:rsid w:val="005F7AF3"/>
    <w:rsid w:val="005F7DE8"/>
    <w:rsid w:val="005F7F9B"/>
    <w:rsid w:val="0060019D"/>
    <w:rsid w:val="00600647"/>
    <w:rsid w:val="006006E1"/>
    <w:rsid w:val="006008F0"/>
    <w:rsid w:val="00600982"/>
    <w:rsid w:val="00600A09"/>
    <w:rsid w:val="00600F53"/>
    <w:rsid w:val="00601312"/>
    <w:rsid w:val="0060134E"/>
    <w:rsid w:val="0060156C"/>
    <w:rsid w:val="00601A20"/>
    <w:rsid w:val="00601D47"/>
    <w:rsid w:val="00601ECA"/>
    <w:rsid w:val="00601FE6"/>
    <w:rsid w:val="006020D7"/>
    <w:rsid w:val="00602186"/>
    <w:rsid w:val="006028C1"/>
    <w:rsid w:val="00602D7C"/>
    <w:rsid w:val="006031C0"/>
    <w:rsid w:val="00603250"/>
    <w:rsid w:val="00603252"/>
    <w:rsid w:val="00603778"/>
    <w:rsid w:val="0060384F"/>
    <w:rsid w:val="00604340"/>
    <w:rsid w:val="00604559"/>
    <w:rsid w:val="006045C3"/>
    <w:rsid w:val="006046C1"/>
    <w:rsid w:val="00604988"/>
    <w:rsid w:val="00604C68"/>
    <w:rsid w:val="00604C83"/>
    <w:rsid w:val="00604D3A"/>
    <w:rsid w:val="006051D9"/>
    <w:rsid w:val="00605975"/>
    <w:rsid w:val="00605CA8"/>
    <w:rsid w:val="00606893"/>
    <w:rsid w:val="00606DF6"/>
    <w:rsid w:val="00606FAE"/>
    <w:rsid w:val="00607057"/>
    <w:rsid w:val="0060716F"/>
    <w:rsid w:val="0060737E"/>
    <w:rsid w:val="00607388"/>
    <w:rsid w:val="00607538"/>
    <w:rsid w:val="00607C56"/>
    <w:rsid w:val="00607D8E"/>
    <w:rsid w:val="0061004A"/>
    <w:rsid w:val="00610265"/>
    <w:rsid w:val="006104FC"/>
    <w:rsid w:val="00610717"/>
    <w:rsid w:val="00610A13"/>
    <w:rsid w:val="00610C2E"/>
    <w:rsid w:val="00610E1A"/>
    <w:rsid w:val="00610FED"/>
    <w:rsid w:val="0061127F"/>
    <w:rsid w:val="00611577"/>
    <w:rsid w:val="006117C6"/>
    <w:rsid w:val="006117D5"/>
    <w:rsid w:val="00611A44"/>
    <w:rsid w:val="00611E38"/>
    <w:rsid w:val="00611EC3"/>
    <w:rsid w:val="00611F11"/>
    <w:rsid w:val="00611FA9"/>
    <w:rsid w:val="006122B7"/>
    <w:rsid w:val="006129D6"/>
    <w:rsid w:val="00612B93"/>
    <w:rsid w:val="00612C66"/>
    <w:rsid w:val="00612EE0"/>
    <w:rsid w:val="00614102"/>
    <w:rsid w:val="006146CA"/>
    <w:rsid w:val="00614AAF"/>
    <w:rsid w:val="00614C14"/>
    <w:rsid w:val="00615439"/>
    <w:rsid w:val="0061595F"/>
    <w:rsid w:val="00615FEF"/>
    <w:rsid w:val="00617533"/>
    <w:rsid w:val="006177A4"/>
    <w:rsid w:val="0062000C"/>
    <w:rsid w:val="0062122F"/>
    <w:rsid w:val="006214D0"/>
    <w:rsid w:val="006214E4"/>
    <w:rsid w:val="00621961"/>
    <w:rsid w:val="00621B83"/>
    <w:rsid w:val="00621DFC"/>
    <w:rsid w:val="00622123"/>
    <w:rsid w:val="00622325"/>
    <w:rsid w:val="0062296A"/>
    <w:rsid w:val="006229ED"/>
    <w:rsid w:val="00623000"/>
    <w:rsid w:val="00623175"/>
    <w:rsid w:val="006243C2"/>
    <w:rsid w:val="006246D0"/>
    <w:rsid w:val="00624726"/>
    <w:rsid w:val="00624940"/>
    <w:rsid w:val="00625006"/>
    <w:rsid w:val="006250BC"/>
    <w:rsid w:val="00625282"/>
    <w:rsid w:val="0062533C"/>
    <w:rsid w:val="00625BBD"/>
    <w:rsid w:val="00625DEF"/>
    <w:rsid w:val="006260FB"/>
    <w:rsid w:val="00626347"/>
    <w:rsid w:val="006269FF"/>
    <w:rsid w:val="00626C90"/>
    <w:rsid w:val="00627030"/>
    <w:rsid w:val="00627238"/>
    <w:rsid w:val="00627670"/>
    <w:rsid w:val="00627A19"/>
    <w:rsid w:val="00627F57"/>
    <w:rsid w:val="006301D4"/>
    <w:rsid w:val="006301EF"/>
    <w:rsid w:val="0063037E"/>
    <w:rsid w:val="00630AC3"/>
    <w:rsid w:val="00630C9A"/>
    <w:rsid w:val="00630F43"/>
    <w:rsid w:val="00630F82"/>
    <w:rsid w:val="0063111D"/>
    <w:rsid w:val="00631743"/>
    <w:rsid w:val="00632134"/>
    <w:rsid w:val="00632337"/>
    <w:rsid w:val="006324DA"/>
    <w:rsid w:val="006325BD"/>
    <w:rsid w:val="0063288F"/>
    <w:rsid w:val="00632B6B"/>
    <w:rsid w:val="00632C4B"/>
    <w:rsid w:val="0063316C"/>
    <w:rsid w:val="00633442"/>
    <w:rsid w:val="006335F2"/>
    <w:rsid w:val="006337DD"/>
    <w:rsid w:val="0063382B"/>
    <w:rsid w:val="00633C2E"/>
    <w:rsid w:val="00633C9E"/>
    <w:rsid w:val="00633E46"/>
    <w:rsid w:val="00634131"/>
    <w:rsid w:val="00634418"/>
    <w:rsid w:val="00634539"/>
    <w:rsid w:val="00634CDD"/>
    <w:rsid w:val="00634D29"/>
    <w:rsid w:val="00634DDC"/>
    <w:rsid w:val="00634FF8"/>
    <w:rsid w:val="00635346"/>
    <w:rsid w:val="00635C55"/>
    <w:rsid w:val="0063619E"/>
    <w:rsid w:val="006362E3"/>
    <w:rsid w:val="0063646A"/>
    <w:rsid w:val="0063675B"/>
    <w:rsid w:val="006367C5"/>
    <w:rsid w:val="006368A2"/>
    <w:rsid w:val="006368EB"/>
    <w:rsid w:val="00636B4C"/>
    <w:rsid w:val="00636E7E"/>
    <w:rsid w:val="00637585"/>
    <w:rsid w:val="00637D85"/>
    <w:rsid w:val="0064043B"/>
    <w:rsid w:val="00640BC2"/>
    <w:rsid w:val="0064111B"/>
    <w:rsid w:val="0064119F"/>
    <w:rsid w:val="006417B0"/>
    <w:rsid w:val="006419A1"/>
    <w:rsid w:val="006421DE"/>
    <w:rsid w:val="006421E4"/>
    <w:rsid w:val="0064244E"/>
    <w:rsid w:val="00642A8F"/>
    <w:rsid w:val="00643195"/>
    <w:rsid w:val="00643477"/>
    <w:rsid w:val="006434D1"/>
    <w:rsid w:val="00643DF3"/>
    <w:rsid w:val="00643FF6"/>
    <w:rsid w:val="0064408C"/>
    <w:rsid w:val="0064408E"/>
    <w:rsid w:val="00644AFC"/>
    <w:rsid w:val="006451E3"/>
    <w:rsid w:val="0064555A"/>
    <w:rsid w:val="00645560"/>
    <w:rsid w:val="00645F5A"/>
    <w:rsid w:val="0064629F"/>
    <w:rsid w:val="00646550"/>
    <w:rsid w:val="006469D0"/>
    <w:rsid w:val="00646D14"/>
    <w:rsid w:val="00647CA4"/>
    <w:rsid w:val="00647D83"/>
    <w:rsid w:val="00647DED"/>
    <w:rsid w:val="00650030"/>
    <w:rsid w:val="00650085"/>
    <w:rsid w:val="0065025C"/>
    <w:rsid w:val="006504E0"/>
    <w:rsid w:val="006507C5"/>
    <w:rsid w:val="00650B2C"/>
    <w:rsid w:val="0065128F"/>
    <w:rsid w:val="006512BE"/>
    <w:rsid w:val="00651B20"/>
    <w:rsid w:val="00651EFA"/>
    <w:rsid w:val="00652320"/>
    <w:rsid w:val="00652646"/>
    <w:rsid w:val="00652983"/>
    <w:rsid w:val="00652E5E"/>
    <w:rsid w:val="0065303E"/>
    <w:rsid w:val="00653044"/>
    <w:rsid w:val="00653414"/>
    <w:rsid w:val="00653CBB"/>
    <w:rsid w:val="00653E47"/>
    <w:rsid w:val="0065427D"/>
    <w:rsid w:val="00654755"/>
    <w:rsid w:val="00654F60"/>
    <w:rsid w:val="0065500A"/>
    <w:rsid w:val="006551D9"/>
    <w:rsid w:val="00655583"/>
    <w:rsid w:val="00655F6F"/>
    <w:rsid w:val="006564E2"/>
    <w:rsid w:val="00656779"/>
    <w:rsid w:val="00656818"/>
    <w:rsid w:val="006568DF"/>
    <w:rsid w:val="006569E5"/>
    <w:rsid w:val="00656AF2"/>
    <w:rsid w:val="00656C0C"/>
    <w:rsid w:val="0065788E"/>
    <w:rsid w:val="00657CD9"/>
    <w:rsid w:val="00657CDF"/>
    <w:rsid w:val="00657F36"/>
    <w:rsid w:val="0066015C"/>
    <w:rsid w:val="0066057C"/>
    <w:rsid w:val="00660852"/>
    <w:rsid w:val="00660AC0"/>
    <w:rsid w:val="00660B6C"/>
    <w:rsid w:val="00660BFA"/>
    <w:rsid w:val="00660DE1"/>
    <w:rsid w:val="00661252"/>
    <w:rsid w:val="00661B57"/>
    <w:rsid w:val="00661E73"/>
    <w:rsid w:val="00661E8C"/>
    <w:rsid w:val="0066227D"/>
    <w:rsid w:val="0066227E"/>
    <w:rsid w:val="00662678"/>
    <w:rsid w:val="006627CE"/>
    <w:rsid w:val="00662BAA"/>
    <w:rsid w:val="00662FD1"/>
    <w:rsid w:val="006633C0"/>
    <w:rsid w:val="00663480"/>
    <w:rsid w:val="00663525"/>
    <w:rsid w:val="006636D4"/>
    <w:rsid w:val="006639CD"/>
    <w:rsid w:val="00663A2E"/>
    <w:rsid w:val="00663A8F"/>
    <w:rsid w:val="00663AB4"/>
    <w:rsid w:val="00663B56"/>
    <w:rsid w:val="00663C7B"/>
    <w:rsid w:val="00663DBF"/>
    <w:rsid w:val="00663E85"/>
    <w:rsid w:val="00664617"/>
    <w:rsid w:val="006647CD"/>
    <w:rsid w:val="00664874"/>
    <w:rsid w:val="00664EC5"/>
    <w:rsid w:val="0066535B"/>
    <w:rsid w:val="006657B2"/>
    <w:rsid w:val="00665DA4"/>
    <w:rsid w:val="00666789"/>
    <w:rsid w:val="006669A0"/>
    <w:rsid w:val="00666A88"/>
    <w:rsid w:val="00666E59"/>
    <w:rsid w:val="0066736D"/>
    <w:rsid w:val="006673C9"/>
    <w:rsid w:val="0066750B"/>
    <w:rsid w:val="006675BB"/>
    <w:rsid w:val="00667630"/>
    <w:rsid w:val="0066784F"/>
    <w:rsid w:val="00667B7F"/>
    <w:rsid w:val="006701B0"/>
    <w:rsid w:val="00670892"/>
    <w:rsid w:val="00670D33"/>
    <w:rsid w:val="0067111D"/>
    <w:rsid w:val="00671557"/>
    <w:rsid w:val="00671F5F"/>
    <w:rsid w:val="00672023"/>
    <w:rsid w:val="006728EE"/>
    <w:rsid w:val="0067333E"/>
    <w:rsid w:val="00673965"/>
    <w:rsid w:val="00673C81"/>
    <w:rsid w:val="00673F10"/>
    <w:rsid w:val="0067407F"/>
    <w:rsid w:val="0067417C"/>
    <w:rsid w:val="00674584"/>
    <w:rsid w:val="006745FE"/>
    <w:rsid w:val="00674655"/>
    <w:rsid w:val="0067503B"/>
    <w:rsid w:val="006750F2"/>
    <w:rsid w:val="00675141"/>
    <w:rsid w:val="0067521F"/>
    <w:rsid w:val="00675455"/>
    <w:rsid w:val="006765E8"/>
    <w:rsid w:val="0067677A"/>
    <w:rsid w:val="006767C3"/>
    <w:rsid w:val="00676C21"/>
    <w:rsid w:val="00676F36"/>
    <w:rsid w:val="00676F75"/>
    <w:rsid w:val="0067712A"/>
    <w:rsid w:val="00677248"/>
    <w:rsid w:val="006776B2"/>
    <w:rsid w:val="006778D9"/>
    <w:rsid w:val="0067791D"/>
    <w:rsid w:val="00677AA4"/>
    <w:rsid w:val="00677D5B"/>
    <w:rsid w:val="00680060"/>
    <w:rsid w:val="006807EC"/>
    <w:rsid w:val="00680899"/>
    <w:rsid w:val="00680C3B"/>
    <w:rsid w:val="0068121E"/>
    <w:rsid w:val="006814C1"/>
    <w:rsid w:val="006815C7"/>
    <w:rsid w:val="00682048"/>
    <w:rsid w:val="00682643"/>
    <w:rsid w:val="00682664"/>
    <w:rsid w:val="006830BE"/>
    <w:rsid w:val="006833BA"/>
    <w:rsid w:val="00683929"/>
    <w:rsid w:val="006839CF"/>
    <w:rsid w:val="00683D2F"/>
    <w:rsid w:val="006844A7"/>
    <w:rsid w:val="006844FC"/>
    <w:rsid w:val="006845EE"/>
    <w:rsid w:val="00684909"/>
    <w:rsid w:val="00684961"/>
    <w:rsid w:val="006850E8"/>
    <w:rsid w:val="006851BB"/>
    <w:rsid w:val="006857AE"/>
    <w:rsid w:val="0068589B"/>
    <w:rsid w:val="00685A88"/>
    <w:rsid w:val="00685B80"/>
    <w:rsid w:val="00685CEA"/>
    <w:rsid w:val="00685E6A"/>
    <w:rsid w:val="00685F04"/>
    <w:rsid w:val="00685F2D"/>
    <w:rsid w:val="006860D4"/>
    <w:rsid w:val="0068633D"/>
    <w:rsid w:val="00686AD0"/>
    <w:rsid w:val="00687BCC"/>
    <w:rsid w:val="00687EB8"/>
    <w:rsid w:val="00687ED9"/>
    <w:rsid w:val="00690115"/>
    <w:rsid w:val="006902DE"/>
    <w:rsid w:val="00690402"/>
    <w:rsid w:val="006906AF"/>
    <w:rsid w:val="00690827"/>
    <w:rsid w:val="00690BA6"/>
    <w:rsid w:val="00690FD6"/>
    <w:rsid w:val="00690FEE"/>
    <w:rsid w:val="006914EF"/>
    <w:rsid w:val="006918B5"/>
    <w:rsid w:val="00691C8E"/>
    <w:rsid w:val="00691F12"/>
    <w:rsid w:val="00692093"/>
    <w:rsid w:val="00692478"/>
    <w:rsid w:val="00692969"/>
    <w:rsid w:val="00692E35"/>
    <w:rsid w:val="00693020"/>
    <w:rsid w:val="00693204"/>
    <w:rsid w:val="00693454"/>
    <w:rsid w:val="00693529"/>
    <w:rsid w:val="00693799"/>
    <w:rsid w:val="00693AD1"/>
    <w:rsid w:val="00693CB9"/>
    <w:rsid w:val="006944C3"/>
    <w:rsid w:val="006946B7"/>
    <w:rsid w:val="006951E7"/>
    <w:rsid w:val="006951EE"/>
    <w:rsid w:val="006954A8"/>
    <w:rsid w:val="0069575A"/>
    <w:rsid w:val="006959C5"/>
    <w:rsid w:val="00695D41"/>
    <w:rsid w:val="00696009"/>
    <w:rsid w:val="00696225"/>
    <w:rsid w:val="0069629B"/>
    <w:rsid w:val="006975C6"/>
    <w:rsid w:val="00697738"/>
    <w:rsid w:val="00697813"/>
    <w:rsid w:val="00697987"/>
    <w:rsid w:val="00697A0A"/>
    <w:rsid w:val="00697BF1"/>
    <w:rsid w:val="00697C3F"/>
    <w:rsid w:val="00697F42"/>
    <w:rsid w:val="00697FDC"/>
    <w:rsid w:val="006A018F"/>
    <w:rsid w:val="006A04E9"/>
    <w:rsid w:val="006A1005"/>
    <w:rsid w:val="006A1073"/>
    <w:rsid w:val="006A17FE"/>
    <w:rsid w:val="006A1FBE"/>
    <w:rsid w:val="006A207B"/>
    <w:rsid w:val="006A24E1"/>
    <w:rsid w:val="006A2671"/>
    <w:rsid w:val="006A28A2"/>
    <w:rsid w:val="006A2902"/>
    <w:rsid w:val="006A3174"/>
    <w:rsid w:val="006A3248"/>
    <w:rsid w:val="006A3255"/>
    <w:rsid w:val="006A3ACD"/>
    <w:rsid w:val="006A3D48"/>
    <w:rsid w:val="006A3F03"/>
    <w:rsid w:val="006A416F"/>
    <w:rsid w:val="006A4513"/>
    <w:rsid w:val="006A4B53"/>
    <w:rsid w:val="006A51BA"/>
    <w:rsid w:val="006A5C8A"/>
    <w:rsid w:val="006A5CEC"/>
    <w:rsid w:val="006A5E34"/>
    <w:rsid w:val="006A63DE"/>
    <w:rsid w:val="006A64AA"/>
    <w:rsid w:val="006A681B"/>
    <w:rsid w:val="006A6829"/>
    <w:rsid w:val="006A68BA"/>
    <w:rsid w:val="006A6AB6"/>
    <w:rsid w:val="006A6EBF"/>
    <w:rsid w:val="006A718C"/>
    <w:rsid w:val="006A75DF"/>
    <w:rsid w:val="006A7669"/>
    <w:rsid w:val="006A7CF6"/>
    <w:rsid w:val="006A7E88"/>
    <w:rsid w:val="006B000A"/>
    <w:rsid w:val="006B03AB"/>
    <w:rsid w:val="006B0637"/>
    <w:rsid w:val="006B075D"/>
    <w:rsid w:val="006B0AB0"/>
    <w:rsid w:val="006B0EE7"/>
    <w:rsid w:val="006B101F"/>
    <w:rsid w:val="006B1382"/>
    <w:rsid w:val="006B149A"/>
    <w:rsid w:val="006B202A"/>
    <w:rsid w:val="006B23E6"/>
    <w:rsid w:val="006B26A5"/>
    <w:rsid w:val="006B2772"/>
    <w:rsid w:val="006B28E3"/>
    <w:rsid w:val="006B2D5B"/>
    <w:rsid w:val="006B2E16"/>
    <w:rsid w:val="006B2E39"/>
    <w:rsid w:val="006B3083"/>
    <w:rsid w:val="006B363F"/>
    <w:rsid w:val="006B3899"/>
    <w:rsid w:val="006B494A"/>
    <w:rsid w:val="006B4C7E"/>
    <w:rsid w:val="006B4D65"/>
    <w:rsid w:val="006B5421"/>
    <w:rsid w:val="006B5670"/>
    <w:rsid w:val="006B581E"/>
    <w:rsid w:val="006B5AC6"/>
    <w:rsid w:val="006B5CEF"/>
    <w:rsid w:val="006B5DE6"/>
    <w:rsid w:val="006B612E"/>
    <w:rsid w:val="006B6661"/>
    <w:rsid w:val="006B6C33"/>
    <w:rsid w:val="006B728E"/>
    <w:rsid w:val="006B7301"/>
    <w:rsid w:val="006B7C64"/>
    <w:rsid w:val="006B7EED"/>
    <w:rsid w:val="006C007A"/>
    <w:rsid w:val="006C04A7"/>
    <w:rsid w:val="006C09E6"/>
    <w:rsid w:val="006C0B0C"/>
    <w:rsid w:val="006C0B9C"/>
    <w:rsid w:val="006C11F4"/>
    <w:rsid w:val="006C1209"/>
    <w:rsid w:val="006C1660"/>
    <w:rsid w:val="006C1CE8"/>
    <w:rsid w:val="006C1EFB"/>
    <w:rsid w:val="006C21D1"/>
    <w:rsid w:val="006C23BC"/>
    <w:rsid w:val="006C25A4"/>
    <w:rsid w:val="006C26B9"/>
    <w:rsid w:val="006C2AED"/>
    <w:rsid w:val="006C2B11"/>
    <w:rsid w:val="006C2E2C"/>
    <w:rsid w:val="006C2EB2"/>
    <w:rsid w:val="006C33D1"/>
    <w:rsid w:val="006C3703"/>
    <w:rsid w:val="006C3AAA"/>
    <w:rsid w:val="006C3AFE"/>
    <w:rsid w:val="006C3CB9"/>
    <w:rsid w:val="006C3CEC"/>
    <w:rsid w:val="006C3D2D"/>
    <w:rsid w:val="006C3FD2"/>
    <w:rsid w:val="006C40F4"/>
    <w:rsid w:val="006C4456"/>
    <w:rsid w:val="006C450D"/>
    <w:rsid w:val="006C4802"/>
    <w:rsid w:val="006C4C40"/>
    <w:rsid w:val="006C4E10"/>
    <w:rsid w:val="006C51E9"/>
    <w:rsid w:val="006C5343"/>
    <w:rsid w:val="006C576F"/>
    <w:rsid w:val="006C584F"/>
    <w:rsid w:val="006C58E0"/>
    <w:rsid w:val="006C5C89"/>
    <w:rsid w:val="006C5CF1"/>
    <w:rsid w:val="006C602C"/>
    <w:rsid w:val="006C60ED"/>
    <w:rsid w:val="006C6181"/>
    <w:rsid w:val="006C68CF"/>
    <w:rsid w:val="006C6BD4"/>
    <w:rsid w:val="006C78D8"/>
    <w:rsid w:val="006C78E5"/>
    <w:rsid w:val="006C79B7"/>
    <w:rsid w:val="006D003A"/>
    <w:rsid w:val="006D0041"/>
    <w:rsid w:val="006D0155"/>
    <w:rsid w:val="006D01E5"/>
    <w:rsid w:val="006D0358"/>
    <w:rsid w:val="006D0524"/>
    <w:rsid w:val="006D0CAE"/>
    <w:rsid w:val="006D0E6D"/>
    <w:rsid w:val="006D1708"/>
    <w:rsid w:val="006D1F3A"/>
    <w:rsid w:val="006D200B"/>
    <w:rsid w:val="006D20F6"/>
    <w:rsid w:val="006D21E3"/>
    <w:rsid w:val="006D2711"/>
    <w:rsid w:val="006D27F8"/>
    <w:rsid w:val="006D29DF"/>
    <w:rsid w:val="006D2C4D"/>
    <w:rsid w:val="006D2CA3"/>
    <w:rsid w:val="006D2F32"/>
    <w:rsid w:val="006D320E"/>
    <w:rsid w:val="006D322A"/>
    <w:rsid w:val="006D3BA6"/>
    <w:rsid w:val="006D3C0A"/>
    <w:rsid w:val="006D3CFE"/>
    <w:rsid w:val="006D4045"/>
    <w:rsid w:val="006D4283"/>
    <w:rsid w:val="006D476D"/>
    <w:rsid w:val="006D4983"/>
    <w:rsid w:val="006D4BF4"/>
    <w:rsid w:val="006D5387"/>
    <w:rsid w:val="006D5DF1"/>
    <w:rsid w:val="006D5F94"/>
    <w:rsid w:val="006D6155"/>
    <w:rsid w:val="006D63C5"/>
    <w:rsid w:val="006D6AAD"/>
    <w:rsid w:val="006D6C06"/>
    <w:rsid w:val="006D6DE9"/>
    <w:rsid w:val="006D6FE9"/>
    <w:rsid w:val="006D76E5"/>
    <w:rsid w:val="006D785B"/>
    <w:rsid w:val="006D7A64"/>
    <w:rsid w:val="006D7A7D"/>
    <w:rsid w:val="006D7AE0"/>
    <w:rsid w:val="006D7E7B"/>
    <w:rsid w:val="006E002A"/>
    <w:rsid w:val="006E04A2"/>
    <w:rsid w:val="006E091B"/>
    <w:rsid w:val="006E0A83"/>
    <w:rsid w:val="006E128F"/>
    <w:rsid w:val="006E14C5"/>
    <w:rsid w:val="006E1A65"/>
    <w:rsid w:val="006E1A75"/>
    <w:rsid w:val="006E1BBF"/>
    <w:rsid w:val="006E2198"/>
    <w:rsid w:val="006E2A6D"/>
    <w:rsid w:val="006E2F37"/>
    <w:rsid w:val="006E2F86"/>
    <w:rsid w:val="006E3900"/>
    <w:rsid w:val="006E3912"/>
    <w:rsid w:val="006E39C9"/>
    <w:rsid w:val="006E4023"/>
    <w:rsid w:val="006E41A7"/>
    <w:rsid w:val="006E42A0"/>
    <w:rsid w:val="006E43C1"/>
    <w:rsid w:val="006E4728"/>
    <w:rsid w:val="006E4C92"/>
    <w:rsid w:val="006E500A"/>
    <w:rsid w:val="006E5192"/>
    <w:rsid w:val="006E519D"/>
    <w:rsid w:val="006E52A0"/>
    <w:rsid w:val="006E52B2"/>
    <w:rsid w:val="006E5538"/>
    <w:rsid w:val="006E5695"/>
    <w:rsid w:val="006E574C"/>
    <w:rsid w:val="006E5858"/>
    <w:rsid w:val="006E58AD"/>
    <w:rsid w:val="006E6000"/>
    <w:rsid w:val="006E6109"/>
    <w:rsid w:val="006E6315"/>
    <w:rsid w:val="006E65A2"/>
    <w:rsid w:val="006E65D3"/>
    <w:rsid w:val="006E6736"/>
    <w:rsid w:val="006E6E2D"/>
    <w:rsid w:val="006E7041"/>
    <w:rsid w:val="006E76A4"/>
    <w:rsid w:val="006E7CD6"/>
    <w:rsid w:val="006F0230"/>
    <w:rsid w:val="006F03F3"/>
    <w:rsid w:val="006F0516"/>
    <w:rsid w:val="006F0643"/>
    <w:rsid w:val="006F0C2F"/>
    <w:rsid w:val="006F0E6F"/>
    <w:rsid w:val="006F14B6"/>
    <w:rsid w:val="006F1B70"/>
    <w:rsid w:val="006F1B75"/>
    <w:rsid w:val="006F1D15"/>
    <w:rsid w:val="006F1D5B"/>
    <w:rsid w:val="006F1FF4"/>
    <w:rsid w:val="006F25C8"/>
    <w:rsid w:val="006F2606"/>
    <w:rsid w:val="006F3379"/>
    <w:rsid w:val="006F3419"/>
    <w:rsid w:val="006F374E"/>
    <w:rsid w:val="006F3776"/>
    <w:rsid w:val="006F4197"/>
    <w:rsid w:val="006F4957"/>
    <w:rsid w:val="006F4AC8"/>
    <w:rsid w:val="006F4ECC"/>
    <w:rsid w:val="006F4F8A"/>
    <w:rsid w:val="006F51E7"/>
    <w:rsid w:val="006F52F6"/>
    <w:rsid w:val="006F54E5"/>
    <w:rsid w:val="006F55BC"/>
    <w:rsid w:val="006F56DE"/>
    <w:rsid w:val="006F58EF"/>
    <w:rsid w:val="006F5CF6"/>
    <w:rsid w:val="006F62A6"/>
    <w:rsid w:val="006F65FB"/>
    <w:rsid w:val="006F6974"/>
    <w:rsid w:val="006F6A6E"/>
    <w:rsid w:val="006F6AAF"/>
    <w:rsid w:val="006F6AE2"/>
    <w:rsid w:val="006F722E"/>
    <w:rsid w:val="006F7B1D"/>
    <w:rsid w:val="006F7C51"/>
    <w:rsid w:val="00700003"/>
    <w:rsid w:val="0070007E"/>
    <w:rsid w:val="00700328"/>
    <w:rsid w:val="00700712"/>
    <w:rsid w:val="007007CA"/>
    <w:rsid w:val="007009C7"/>
    <w:rsid w:val="00700D4D"/>
    <w:rsid w:val="00701294"/>
    <w:rsid w:val="007017AC"/>
    <w:rsid w:val="00701A7F"/>
    <w:rsid w:val="00701C21"/>
    <w:rsid w:val="00701CC5"/>
    <w:rsid w:val="0070216F"/>
    <w:rsid w:val="007023F7"/>
    <w:rsid w:val="007025B5"/>
    <w:rsid w:val="00702693"/>
    <w:rsid w:val="00702801"/>
    <w:rsid w:val="00702C47"/>
    <w:rsid w:val="00702CD9"/>
    <w:rsid w:val="00702F5D"/>
    <w:rsid w:val="00703E82"/>
    <w:rsid w:val="00703FB1"/>
    <w:rsid w:val="0070427D"/>
    <w:rsid w:val="007047D1"/>
    <w:rsid w:val="007050C3"/>
    <w:rsid w:val="007050FD"/>
    <w:rsid w:val="00705249"/>
    <w:rsid w:val="007056E6"/>
    <w:rsid w:val="00706508"/>
    <w:rsid w:val="0070662C"/>
    <w:rsid w:val="00706A7B"/>
    <w:rsid w:val="00706D59"/>
    <w:rsid w:val="00707356"/>
    <w:rsid w:val="00707392"/>
    <w:rsid w:val="007075B7"/>
    <w:rsid w:val="007079FE"/>
    <w:rsid w:val="00707E8A"/>
    <w:rsid w:val="00707FAD"/>
    <w:rsid w:val="007103BC"/>
    <w:rsid w:val="0071049E"/>
    <w:rsid w:val="007106F2"/>
    <w:rsid w:val="00710779"/>
    <w:rsid w:val="007107D0"/>
    <w:rsid w:val="0071084C"/>
    <w:rsid w:val="00710A2A"/>
    <w:rsid w:val="00710E81"/>
    <w:rsid w:val="0071192C"/>
    <w:rsid w:val="00711AE0"/>
    <w:rsid w:val="00711E3C"/>
    <w:rsid w:val="007120DB"/>
    <w:rsid w:val="00712A15"/>
    <w:rsid w:val="00712BC0"/>
    <w:rsid w:val="00712D38"/>
    <w:rsid w:val="00712DF3"/>
    <w:rsid w:val="00712FB0"/>
    <w:rsid w:val="00713066"/>
    <w:rsid w:val="00713157"/>
    <w:rsid w:val="00713957"/>
    <w:rsid w:val="00713F35"/>
    <w:rsid w:val="0071419B"/>
    <w:rsid w:val="0071479D"/>
    <w:rsid w:val="00714DAC"/>
    <w:rsid w:val="00715265"/>
    <w:rsid w:val="00715497"/>
    <w:rsid w:val="00715762"/>
    <w:rsid w:val="0071579E"/>
    <w:rsid w:val="00715B7B"/>
    <w:rsid w:val="00715BB3"/>
    <w:rsid w:val="00716399"/>
    <w:rsid w:val="00716806"/>
    <w:rsid w:val="0071698C"/>
    <w:rsid w:val="00716A6D"/>
    <w:rsid w:val="00716B06"/>
    <w:rsid w:val="00717C30"/>
    <w:rsid w:val="00717D95"/>
    <w:rsid w:val="00721253"/>
    <w:rsid w:val="007213E9"/>
    <w:rsid w:val="007213EA"/>
    <w:rsid w:val="00721415"/>
    <w:rsid w:val="00721C73"/>
    <w:rsid w:val="00721EBE"/>
    <w:rsid w:val="00722429"/>
    <w:rsid w:val="0072247D"/>
    <w:rsid w:val="007224BB"/>
    <w:rsid w:val="007226FF"/>
    <w:rsid w:val="007229D6"/>
    <w:rsid w:val="00722A7D"/>
    <w:rsid w:val="00723180"/>
    <w:rsid w:val="00723D71"/>
    <w:rsid w:val="007240E2"/>
    <w:rsid w:val="007244C5"/>
    <w:rsid w:val="007244E5"/>
    <w:rsid w:val="00724552"/>
    <w:rsid w:val="00724815"/>
    <w:rsid w:val="00724C89"/>
    <w:rsid w:val="00724E8D"/>
    <w:rsid w:val="00724EF8"/>
    <w:rsid w:val="007251AC"/>
    <w:rsid w:val="00725397"/>
    <w:rsid w:val="00725510"/>
    <w:rsid w:val="0072554A"/>
    <w:rsid w:val="00725D61"/>
    <w:rsid w:val="00725FEE"/>
    <w:rsid w:val="00726099"/>
    <w:rsid w:val="007260B4"/>
    <w:rsid w:val="007263A7"/>
    <w:rsid w:val="00726558"/>
    <w:rsid w:val="0072662A"/>
    <w:rsid w:val="007266F3"/>
    <w:rsid w:val="0072680E"/>
    <w:rsid w:val="00726F33"/>
    <w:rsid w:val="00727326"/>
    <w:rsid w:val="00727493"/>
    <w:rsid w:val="00727B33"/>
    <w:rsid w:val="00727C4F"/>
    <w:rsid w:val="00727F89"/>
    <w:rsid w:val="00727FB8"/>
    <w:rsid w:val="00727FBF"/>
    <w:rsid w:val="00730290"/>
    <w:rsid w:val="007302F8"/>
    <w:rsid w:val="00730529"/>
    <w:rsid w:val="00730550"/>
    <w:rsid w:val="00730903"/>
    <w:rsid w:val="0073090A"/>
    <w:rsid w:val="00730942"/>
    <w:rsid w:val="00730DC2"/>
    <w:rsid w:val="0073162F"/>
    <w:rsid w:val="00731A1E"/>
    <w:rsid w:val="00732A06"/>
    <w:rsid w:val="00732EEE"/>
    <w:rsid w:val="00733992"/>
    <w:rsid w:val="00733EFC"/>
    <w:rsid w:val="0073401A"/>
    <w:rsid w:val="00734790"/>
    <w:rsid w:val="00734B07"/>
    <w:rsid w:val="00734B4B"/>
    <w:rsid w:val="00734B71"/>
    <w:rsid w:val="00734BE9"/>
    <w:rsid w:val="0073528A"/>
    <w:rsid w:val="007353B4"/>
    <w:rsid w:val="00735EFB"/>
    <w:rsid w:val="00736788"/>
    <w:rsid w:val="0073682E"/>
    <w:rsid w:val="0073694C"/>
    <w:rsid w:val="00736DA9"/>
    <w:rsid w:val="00736DD9"/>
    <w:rsid w:val="00736F28"/>
    <w:rsid w:val="00736F39"/>
    <w:rsid w:val="00737080"/>
    <w:rsid w:val="007373BF"/>
    <w:rsid w:val="0073773B"/>
    <w:rsid w:val="00737999"/>
    <w:rsid w:val="00737A49"/>
    <w:rsid w:val="00737B6A"/>
    <w:rsid w:val="00737D52"/>
    <w:rsid w:val="007404AD"/>
    <w:rsid w:val="007404FC"/>
    <w:rsid w:val="00740801"/>
    <w:rsid w:val="00740C64"/>
    <w:rsid w:val="00740D45"/>
    <w:rsid w:val="007411E3"/>
    <w:rsid w:val="007411F5"/>
    <w:rsid w:val="007417C1"/>
    <w:rsid w:val="007418E2"/>
    <w:rsid w:val="0074222D"/>
    <w:rsid w:val="0074240F"/>
    <w:rsid w:val="007425B1"/>
    <w:rsid w:val="00742792"/>
    <w:rsid w:val="007427F1"/>
    <w:rsid w:val="00742D9C"/>
    <w:rsid w:val="00742E47"/>
    <w:rsid w:val="00742E98"/>
    <w:rsid w:val="00743251"/>
    <w:rsid w:val="0074340B"/>
    <w:rsid w:val="007436D4"/>
    <w:rsid w:val="007438C3"/>
    <w:rsid w:val="007439B5"/>
    <w:rsid w:val="00743CB5"/>
    <w:rsid w:val="00743CC3"/>
    <w:rsid w:val="00744049"/>
    <w:rsid w:val="0074434D"/>
    <w:rsid w:val="00744476"/>
    <w:rsid w:val="00744849"/>
    <w:rsid w:val="00744BCD"/>
    <w:rsid w:val="00744C80"/>
    <w:rsid w:val="00744E26"/>
    <w:rsid w:val="00745008"/>
    <w:rsid w:val="00745399"/>
    <w:rsid w:val="007453FB"/>
    <w:rsid w:val="007456BC"/>
    <w:rsid w:val="00745F51"/>
    <w:rsid w:val="007461D1"/>
    <w:rsid w:val="00746616"/>
    <w:rsid w:val="00746841"/>
    <w:rsid w:val="00746CBA"/>
    <w:rsid w:val="00746D3D"/>
    <w:rsid w:val="00746FB6"/>
    <w:rsid w:val="00747CC1"/>
    <w:rsid w:val="00747E79"/>
    <w:rsid w:val="00747F59"/>
    <w:rsid w:val="00750126"/>
    <w:rsid w:val="00750847"/>
    <w:rsid w:val="00750A5A"/>
    <w:rsid w:val="00750CAC"/>
    <w:rsid w:val="007515E7"/>
    <w:rsid w:val="007519FD"/>
    <w:rsid w:val="00751C72"/>
    <w:rsid w:val="00751DA8"/>
    <w:rsid w:val="00752250"/>
    <w:rsid w:val="0075236F"/>
    <w:rsid w:val="0075243B"/>
    <w:rsid w:val="00752669"/>
    <w:rsid w:val="00752697"/>
    <w:rsid w:val="0075274E"/>
    <w:rsid w:val="007527E8"/>
    <w:rsid w:val="007538B4"/>
    <w:rsid w:val="00753A31"/>
    <w:rsid w:val="00753EB1"/>
    <w:rsid w:val="00754113"/>
    <w:rsid w:val="007544A4"/>
    <w:rsid w:val="00754A43"/>
    <w:rsid w:val="00754E4D"/>
    <w:rsid w:val="007555E5"/>
    <w:rsid w:val="00755674"/>
    <w:rsid w:val="00755B9A"/>
    <w:rsid w:val="00755E14"/>
    <w:rsid w:val="00755E32"/>
    <w:rsid w:val="00755E47"/>
    <w:rsid w:val="0075640B"/>
    <w:rsid w:val="00756A47"/>
    <w:rsid w:val="00756B46"/>
    <w:rsid w:val="00756D78"/>
    <w:rsid w:val="00757F7D"/>
    <w:rsid w:val="00757F96"/>
    <w:rsid w:val="00760158"/>
    <w:rsid w:val="0076047C"/>
    <w:rsid w:val="0076093A"/>
    <w:rsid w:val="0076116A"/>
    <w:rsid w:val="007615BB"/>
    <w:rsid w:val="007616A6"/>
    <w:rsid w:val="007621ED"/>
    <w:rsid w:val="007623AC"/>
    <w:rsid w:val="0076279D"/>
    <w:rsid w:val="00762882"/>
    <w:rsid w:val="007629D1"/>
    <w:rsid w:val="00762A14"/>
    <w:rsid w:val="00762CD9"/>
    <w:rsid w:val="00762EC0"/>
    <w:rsid w:val="00763037"/>
    <w:rsid w:val="007635ED"/>
    <w:rsid w:val="00763817"/>
    <w:rsid w:val="00763B6A"/>
    <w:rsid w:val="00763E10"/>
    <w:rsid w:val="0076441D"/>
    <w:rsid w:val="0076457B"/>
    <w:rsid w:val="007645FB"/>
    <w:rsid w:val="00764759"/>
    <w:rsid w:val="007647F8"/>
    <w:rsid w:val="0076483A"/>
    <w:rsid w:val="00764A17"/>
    <w:rsid w:val="00764DCE"/>
    <w:rsid w:val="00764F4E"/>
    <w:rsid w:val="0076545E"/>
    <w:rsid w:val="00765614"/>
    <w:rsid w:val="00765A24"/>
    <w:rsid w:val="00765ECF"/>
    <w:rsid w:val="007660A7"/>
    <w:rsid w:val="007660C2"/>
    <w:rsid w:val="0076638C"/>
    <w:rsid w:val="007665E9"/>
    <w:rsid w:val="007666DF"/>
    <w:rsid w:val="00766C0D"/>
    <w:rsid w:val="00766E51"/>
    <w:rsid w:val="00767291"/>
    <w:rsid w:val="00767344"/>
    <w:rsid w:val="00767FDD"/>
    <w:rsid w:val="00770875"/>
    <w:rsid w:val="007709FD"/>
    <w:rsid w:val="0077100B"/>
    <w:rsid w:val="00771103"/>
    <w:rsid w:val="00771422"/>
    <w:rsid w:val="007715F8"/>
    <w:rsid w:val="0077179B"/>
    <w:rsid w:val="007717EA"/>
    <w:rsid w:val="00771A36"/>
    <w:rsid w:val="00773202"/>
    <w:rsid w:val="007733A8"/>
    <w:rsid w:val="007736BC"/>
    <w:rsid w:val="007739EE"/>
    <w:rsid w:val="00773C9C"/>
    <w:rsid w:val="00773D75"/>
    <w:rsid w:val="00773FBE"/>
    <w:rsid w:val="00774107"/>
    <w:rsid w:val="0077497F"/>
    <w:rsid w:val="00774A1C"/>
    <w:rsid w:val="00774AE6"/>
    <w:rsid w:val="0077547E"/>
    <w:rsid w:val="007755DD"/>
    <w:rsid w:val="007759CD"/>
    <w:rsid w:val="00775E8F"/>
    <w:rsid w:val="00776056"/>
    <w:rsid w:val="007760CF"/>
    <w:rsid w:val="0077697D"/>
    <w:rsid w:val="00776ABF"/>
    <w:rsid w:val="00776AEE"/>
    <w:rsid w:val="00777A1D"/>
    <w:rsid w:val="00777ACA"/>
    <w:rsid w:val="0078008C"/>
    <w:rsid w:val="00780248"/>
    <w:rsid w:val="00780468"/>
    <w:rsid w:val="00780992"/>
    <w:rsid w:val="007819D8"/>
    <w:rsid w:val="00781A6E"/>
    <w:rsid w:val="00781DA1"/>
    <w:rsid w:val="00781F29"/>
    <w:rsid w:val="00781FA2"/>
    <w:rsid w:val="00782539"/>
    <w:rsid w:val="007825CA"/>
    <w:rsid w:val="00782858"/>
    <w:rsid w:val="00782A48"/>
    <w:rsid w:val="0078326E"/>
    <w:rsid w:val="00783668"/>
    <w:rsid w:val="007837F0"/>
    <w:rsid w:val="00783819"/>
    <w:rsid w:val="0078382F"/>
    <w:rsid w:val="00783852"/>
    <w:rsid w:val="00783A1D"/>
    <w:rsid w:val="00783B05"/>
    <w:rsid w:val="00783C6C"/>
    <w:rsid w:val="00783DF9"/>
    <w:rsid w:val="007848DE"/>
    <w:rsid w:val="007854C8"/>
    <w:rsid w:val="00785C23"/>
    <w:rsid w:val="00785C98"/>
    <w:rsid w:val="00785F2D"/>
    <w:rsid w:val="007861D3"/>
    <w:rsid w:val="0078637E"/>
    <w:rsid w:val="00786D5A"/>
    <w:rsid w:val="00786DE9"/>
    <w:rsid w:val="007870D2"/>
    <w:rsid w:val="007873B2"/>
    <w:rsid w:val="007875B8"/>
    <w:rsid w:val="007875F2"/>
    <w:rsid w:val="00787B01"/>
    <w:rsid w:val="00787C65"/>
    <w:rsid w:val="00787FB6"/>
    <w:rsid w:val="00790487"/>
    <w:rsid w:val="00790574"/>
    <w:rsid w:val="007906D3"/>
    <w:rsid w:val="00790AA1"/>
    <w:rsid w:val="00790BF1"/>
    <w:rsid w:val="00791054"/>
    <w:rsid w:val="007911CF"/>
    <w:rsid w:val="0079127B"/>
    <w:rsid w:val="00791591"/>
    <w:rsid w:val="007924D6"/>
    <w:rsid w:val="0079287D"/>
    <w:rsid w:val="00792D28"/>
    <w:rsid w:val="00792E28"/>
    <w:rsid w:val="00793218"/>
    <w:rsid w:val="0079321F"/>
    <w:rsid w:val="00793B6E"/>
    <w:rsid w:val="00793B6F"/>
    <w:rsid w:val="00793D56"/>
    <w:rsid w:val="00793EF4"/>
    <w:rsid w:val="00794040"/>
    <w:rsid w:val="007942C2"/>
    <w:rsid w:val="007946A1"/>
    <w:rsid w:val="00794878"/>
    <w:rsid w:val="007949C1"/>
    <w:rsid w:val="007949FE"/>
    <w:rsid w:val="00794CC6"/>
    <w:rsid w:val="00794E1F"/>
    <w:rsid w:val="00795003"/>
    <w:rsid w:val="00795089"/>
    <w:rsid w:val="00795367"/>
    <w:rsid w:val="00795DFE"/>
    <w:rsid w:val="00795EDD"/>
    <w:rsid w:val="00796211"/>
    <w:rsid w:val="0079671D"/>
    <w:rsid w:val="00796780"/>
    <w:rsid w:val="00796B28"/>
    <w:rsid w:val="00796BF6"/>
    <w:rsid w:val="00796DA5"/>
    <w:rsid w:val="00796E7D"/>
    <w:rsid w:val="0079700C"/>
    <w:rsid w:val="0079718A"/>
    <w:rsid w:val="0079725D"/>
    <w:rsid w:val="0079735A"/>
    <w:rsid w:val="0079754F"/>
    <w:rsid w:val="00797A6F"/>
    <w:rsid w:val="00797D76"/>
    <w:rsid w:val="007A0407"/>
    <w:rsid w:val="007A0ADA"/>
    <w:rsid w:val="007A11D7"/>
    <w:rsid w:val="007A14DA"/>
    <w:rsid w:val="007A154B"/>
    <w:rsid w:val="007A164B"/>
    <w:rsid w:val="007A1EF5"/>
    <w:rsid w:val="007A2782"/>
    <w:rsid w:val="007A280C"/>
    <w:rsid w:val="007A2D44"/>
    <w:rsid w:val="007A2FF3"/>
    <w:rsid w:val="007A32A6"/>
    <w:rsid w:val="007A3372"/>
    <w:rsid w:val="007A33BF"/>
    <w:rsid w:val="007A3CED"/>
    <w:rsid w:val="007A3EC4"/>
    <w:rsid w:val="007A4098"/>
    <w:rsid w:val="007A4111"/>
    <w:rsid w:val="007A4E0C"/>
    <w:rsid w:val="007A50B2"/>
    <w:rsid w:val="007A52C1"/>
    <w:rsid w:val="007A56E0"/>
    <w:rsid w:val="007A58AB"/>
    <w:rsid w:val="007A5ED6"/>
    <w:rsid w:val="007A65D7"/>
    <w:rsid w:val="007A65EB"/>
    <w:rsid w:val="007A6A08"/>
    <w:rsid w:val="007A6E9F"/>
    <w:rsid w:val="007A7156"/>
    <w:rsid w:val="007A7631"/>
    <w:rsid w:val="007A7877"/>
    <w:rsid w:val="007A7C0A"/>
    <w:rsid w:val="007A7DFC"/>
    <w:rsid w:val="007A7E33"/>
    <w:rsid w:val="007B0513"/>
    <w:rsid w:val="007B09A0"/>
    <w:rsid w:val="007B0B3F"/>
    <w:rsid w:val="007B1135"/>
    <w:rsid w:val="007B12B8"/>
    <w:rsid w:val="007B1D24"/>
    <w:rsid w:val="007B1DCE"/>
    <w:rsid w:val="007B1F99"/>
    <w:rsid w:val="007B2055"/>
    <w:rsid w:val="007B2F35"/>
    <w:rsid w:val="007B2F6F"/>
    <w:rsid w:val="007B3783"/>
    <w:rsid w:val="007B3EA3"/>
    <w:rsid w:val="007B4464"/>
    <w:rsid w:val="007B46DF"/>
    <w:rsid w:val="007B4945"/>
    <w:rsid w:val="007B4A13"/>
    <w:rsid w:val="007B4B43"/>
    <w:rsid w:val="007B4B87"/>
    <w:rsid w:val="007B5300"/>
    <w:rsid w:val="007B543C"/>
    <w:rsid w:val="007B5A3D"/>
    <w:rsid w:val="007B5ECE"/>
    <w:rsid w:val="007B668B"/>
    <w:rsid w:val="007B6CF3"/>
    <w:rsid w:val="007B718D"/>
    <w:rsid w:val="007B7784"/>
    <w:rsid w:val="007B78DD"/>
    <w:rsid w:val="007B7D2B"/>
    <w:rsid w:val="007B7F3E"/>
    <w:rsid w:val="007C0333"/>
    <w:rsid w:val="007C06E4"/>
    <w:rsid w:val="007C0FB5"/>
    <w:rsid w:val="007C0FE2"/>
    <w:rsid w:val="007C11CC"/>
    <w:rsid w:val="007C16D3"/>
    <w:rsid w:val="007C1A10"/>
    <w:rsid w:val="007C1AEB"/>
    <w:rsid w:val="007C1CDA"/>
    <w:rsid w:val="007C1F42"/>
    <w:rsid w:val="007C1F77"/>
    <w:rsid w:val="007C2250"/>
    <w:rsid w:val="007C24D4"/>
    <w:rsid w:val="007C2B7A"/>
    <w:rsid w:val="007C2DCA"/>
    <w:rsid w:val="007C362A"/>
    <w:rsid w:val="007C38E6"/>
    <w:rsid w:val="007C3D38"/>
    <w:rsid w:val="007C4428"/>
    <w:rsid w:val="007C47F8"/>
    <w:rsid w:val="007C4886"/>
    <w:rsid w:val="007C4BC8"/>
    <w:rsid w:val="007C4E0B"/>
    <w:rsid w:val="007C5170"/>
    <w:rsid w:val="007C55E6"/>
    <w:rsid w:val="007C578C"/>
    <w:rsid w:val="007C5AC3"/>
    <w:rsid w:val="007C5BF4"/>
    <w:rsid w:val="007C65B1"/>
    <w:rsid w:val="007C6779"/>
    <w:rsid w:val="007C6831"/>
    <w:rsid w:val="007C6C28"/>
    <w:rsid w:val="007C6D84"/>
    <w:rsid w:val="007C70FE"/>
    <w:rsid w:val="007C731C"/>
    <w:rsid w:val="007C73AB"/>
    <w:rsid w:val="007C78EC"/>
    <w:rsid w:val="007D0CE1"/>
    <w:rsid w:val="007D0E2D"/>
    <w:rsid w:val="007D0E6B"/>
    <w:rsid w:val="007D0FA6"/>
    <w:rsid w:val="007D108C"/>
    <w:rsid w:val="007D1125"/>
    <w:rsid w:val="007D1446"/>
    <w:rsid w:val="007D14AA"/>
    <w:rsid w:val="007D14B4"/>
    <w:rsid w:val="007D1673"/>
    <w:rsid w:val="007D1F49"/>
    <w:rsid w:val="007D1FCD"/>
    <w:rsid w:val="007D2021"/>
    <w:rsid w:val="007D2108"/>
    <w:rsid w:val="007D23F7"/>
    <w:rsid w:val="007D2692"/>
    <w:rsid w:val="007D2989"/>
    <w:rsid w:val="007D2D46"/>
    <w:rsid w:val="007D2EB5"/>
    <w:rsid w:val="007D3697"/>
    <w:rsid w:val="007D3BF0"/>
    <w:rsid w:val="007D3FB0"/>
    <w:rsid w:val="007D48A9"/>
    <w:rsid w:val="007D4EE7"/>
    <w:rsid w:val="007D6559"/>
    <w:rsid w:val="007D6756"/>
    <w:rsid w:val="007D67BF"/>
    <w:rsid w:val="007D691C"/>
    <w:rsid w:val="007D699A"/>
    <w:rsid w:val="007D6F9C"/>
    <w:rsid w:val="007D73D5"/>
    <w:rsid w:val="007D75A9"/>
    <w:rsid w:val="007D7A54"/>
    <w:rsid w:val="007D7CF6"/>
    <w:rsid w:val="007E0178"/>
    <w:rsid w:val="007E0651"/>
    <w:rsid w:val="007E0D37"/>
    <w:rsid w:val="007E11E2"/>
    <w:rsid w:val="007E192D"/>
    <w:rsid w:val="007E1B5A"/>
    <w:rsid w:val="007E1F14"/>
    <w:rsid w:val="007E2062"/>
    <w:rsid w:val="007E21E4"/>
    <w:rsid w:val="007E22BF"/>
    <w:rsid w:val="007E2647"/>
    <w:rsid w:val="007E2863"/>
    <w:rsid w:val="007E2ACC"/>
    <w:rsid w:val="007E2BD8"/>
    <w:rsid w:val="007E2E0A"/>
    <w:rsid w:val="007E2E58"/>
    <w:rsid w:val="007E2E80"/>
    <w:rsid w:val="007E32A1"/>
    <w:rsid w:val="007E3808"/>
    <w:rsid w:val="007E38CD"/>
    <w:rsid w:val="007E3A6D"/>
    <w:rsid w:val="007E3D40"/>
    <w:rsid w:val="007E427E"/>
    <w:rsid w:val="007E45E9"/>
    <w:rsid w:val="007E4626"/>
    <w:rsid w:val="007E46F0"/>
    <w:rsid w:val="007E47AC"/>
    <w:rsid w:val="007E4CA6"/>
    <w:rsid w:val="007E4EBC"/>
    <w:rsid w:val="007E4FCD"/>
    <w:rsid w:val="007E52EC"/>
    <w:rsid w:val="007E54B6"/>
    <w:rsid w:val="007E5524"/>
    <w:rsid w:val="007E554B"/>
    <w:rsid w:val="007E5CDD"/>
    <w:rsid w:val="007E6264"/>
    <w:rsid w:val="007E626F"/>
    <w:rsid w:val="007E6578"/>
    <w:rsid w:val="007E65DF"/>
    <w:rsid w:val="007E65F4"/>
    <w:rsid w:val="007E665B"/>
    <w:rsid w:val="007E67F9"/>
    <w:rsid w:val="007E6A4D"/>
    <w:rsid w:val="007E6F94"/>
    <w:rsid w:val="007E6FA2"/>
    <w:rsid w:val="007E7139"/>
    <w:rsid w:val="007E7694"/>
    <w:rsid w:val="007E778C"/>
    <w:rsid w:val="007E7C40"/>
    <w:rsid w:val="007E7C44"/>
    <w:rsid w:val="007F0635"/>
    <w:rsid w:val="007F0696"/>
    <w:rsid w:val="007F06F2"/>
    <w:rsid w:val="007F0751"/>
    <w:rsid w:val="007F08F0"/>
    <w:rsid w:val="007F0CC5"/>
    <w:rsid w:val="007F0EBF"/>
    <w:rsid w:val="007F159C"/>
    <w:rsid w:val="007F1643"/>
    <w:rsid w:val="007F17BE"/>
    <w:rsid w:val="007F1889"/>
    <w:rsid w:val="007F1CA7"/>
    <w:rsid w:val="007F1E95"/>
    <w:rsid w:val="007F1F01"/>
    <w:rsid w:val="007F209B"/>
    <w:rsid w:val="007F2112"/>
    <w:rsid w:val="007F2475"/>
    <w:rsid w:val="007F261E"/>
    <w:rsid w:val="007F267C"/>
    <w:rsid w:val="007F28CC"/>
    <w:rsid w:val="007F2C98"/>
    <w:rsid w:val="007F30DC"/>
    <w:rsid w:val="007F32FF"/>
    <w:rsid w:val="007F34DC"/>
    <w:rsid w:val="007F37BA"/>
    <w:rsid w:val="007F382B"/>
    <w:rsid w:val="007F3914"/>
    <w:rsid w:val="007F3EEB"/>
    <w:rsid w:val="007F413F"/>
    <w:rsid w:val="007F42C7"/>
    <w:rsid w:val="007F435B"/>
    <w:rsid w:val="007F43B5"/>
    <w:rsid w:val="007F4512"/>
    <w:rsid w:val="007F4CD3"/>
    <w:rsid w:val="007F5129"/>
    <w:rsid w:val="007F53D6"/>
    <w:rsid w:val="007F5B39"/>
    <w:rsid w:val="007F5DFD"/>
    <w:rsid w:val="007F5FF8"/>
    <w:rsid w:val="007F6007"/>
    <w:rsid w:val="007F6302"/>
    <w:rsid w:val="007F6506"/>
    <w:rsid w:val="007F669C"/>
    <w:rsid w:val="007F67D2"/>
    <w:rsid w:val="007F701A"/>
    <w:rsid w:val="007F706B"/>
    <w:rsid w:val="007F7207"/>
    <w:rsid w:val="007F74B5"/>
    <w:rsid w:val="007F7509"/>
    <w:rsid w:val="007F7541"/>
    <w:rsid w:val="0080075B"/>
    <w:rsid w:val="00800890"/>
    <w:rsid w:val="00800B2C"/>
    <w:rsid w:val="00800BFA"/>
    <w:rsid w:val="00800CA7"/>
    <w:rsid w:val="00800CFD"/>
    <w:rsid w:val="00800F1D"/>
    <w:rsid w:val="00800FF6"/>
    <w:rsid w:val="0080140F"/>
    <w:rsid w:val="00801787"/>
    <w:rsid w:val="008017EB"/>
    <w:rsid w:val="00801A8D"/>
    <w:rsid w:val="00801ACB"/>
    <w:rsid w:val="00802BF3"/>
    <w:rsid w:val="00802C4C"/>
    <w:rsid w:val="008037A0"/>
    <w:rsid w:val="00803C5B"/>
    <w:rsid w:val="00803C9E"/>
    <w:rsid w:val="00804090"/>
    <w:rsid w:val="008042B5"/>
    <w:rsid w:val="00804FEA"/>
    <w:rsid w:val="00805681"/>
    <w:rsid w:val="00805E50"/>
    <w:rsid w:val="00805F26"/>
    <w:rsid w:val="0080649D"/>
    <w:rsid w:val="008068A1"/>
    <w:rsid w:val="008069AC"/>
    <w:rsid w:val="00806AF2"/>
    <w:rsid w:val="00806BAB"/>
    <w:rsid w:val="008070FB"/>
    <w:rsid w:val="008073B3"/>
    <w:rsid w:val="00807B2E"/>
    <w:rsid w:val="008101F1"/>
    <w:rsid w:val="00810364"/>
    <w:rsid w:val="00810A54"/>
    <w:rsid w:val="00810BA7"/>
    <w:rsid w:val="00810BD3"/>
    <w:rsid w:val="00810DB0"/>
    <w:rsid w:val="00810DBB"/>
    <w:rsid w:val="00810F39"/>
    <w:rsid w:val="00811812"/>
    <w:rsid w:val="008126B8"/>
    <w:rsid w:val="00812C2C"/>
    <w:rsid w:val="00812D8D"/>
    <w:rsid w:val="0081353D"/>
    <w:rsid w:val="0081356E"/>
    <w:rsid w:val="008137D2"/>
    <w:rsid w:val="00813C78"/>
    <w:rsid w:val="00813D1A"/>
    <w:rsid w:val="008142BA"/>
    <w:rsid w:val="00814570"/>
    <w:rsid w:val="0081499C"/>
    <w:rsid w:val="00814F22"/>
    <w:rsid w:val="00815573"/>
    <w:rsid w:val="00815709"/>
    <w:rsid w:val="00815B29"/>
    <w:rsid w:val="00815BC0"/>
    <w:rsid w:val="008161FD"/>
    <w:rsid w:val="00816394"/>
    <w:rsid w:val="00816570"/>
    <w:rsid w:val="00816923"/>
    <w:rsid w:val="00816A46"/>
    <w:rsid w:val="008172CF"/>
    <w:rsid w:val="00817523"/>
    <w:rsid w:val="008177A8"/>
    <w:rsid w:val="00817803"/>
    <w:rsid w:val="00817CDE"/>
    <w:rsid w:val="00817F8B"/>
    <w:rsid w:val="0082001A"/>
    <w:rsid w:val="0082029D"/>
    <w:rsid w:val="00820A5F"/>
    <w:rsid w:val="00821751"/>
    <w:rsid w:val="00821921"/>
    <w:rsid w:val="008223FD"/>
    <w:rsid w:val="0082249F"/>
    <w:rsid w:val="00822732"/>
    <w:rsid w:val="00822CE6"/>
    <w:rsid w:val="00822D44"/>
    <w:rsid w:val="00822F0B"/>
    <w:rsid w:val="00823634"/>
    <w:rsid w:val="00823AE1"/>
    <w:rsid w:val="00823B7A"/>
    <w:rsid w:val="00823F7D"/>
    <w:rsid w:val="00824036"/>
    <w:rsid w:val="00824095"/>
    <w:rsid w:val="008240B7"/>
    <w:rsid w:val="00824958"/>
    <w:rsid w:val="00824BB6"/>
    <w:rsid w:val="00825029"/>
    <w:rsid w:val="00825995"/>
    <w:rsid w:val="008259BA"/>
    <w:rsid w:val="00825E82"/>
    <w:rsid w:val="008260A8"/>
    <w:rsid w:val="008262E5"/>
    <w:rsid w:val="008265A1"/>
    <w:rsid w:val="00826820"/>
    <w:rsid w:val="008268BC"/>
    <w:rsid w:val="00826CD0"/>
    <w:rsid w:val="008271C0"/>
    <w:rsid w:val="00827256"/>
    <w:rsid w:val="0082747B"/>
    <w:rsid w:val="00827513"/>
    <w:rsid w:val="0082762E"/>
    <w:rsid w:val="00827631"/>
    <w:rsid w:val="00827A22"/>
    <w:rsid w:val="00827C2C"/>
    <w:rsid w:val="00827CD7"/>
    <w:rsid w:val="00830214"/>
    <w:rsid w:val="0083055C"/>
    <w:rsid w:val="00830ACA"/>
    <w:rsid w:val="00830B63"/>
    <w:rsid w:val="00830F35"/>
    <w:rsid w:val="00830F9E"/>
    <w:rsid w:val="00830FA5"/>
    <w:rsid w:val="008311DC"/>
    <w:rsid w:val="0083126E"/>
    <w:rsid w:val="00831658"/>
    <w:rsid w:val="00831B4F"/>
    <w:rsid w:val="00831DC5"/>
    <w:rsid w:val="008322CD"/>
    <w:rsid w:val="008327BA"/>
    <w:rsid w:val="00833D9F"/>
    <w:rsid w:val="00834304"/>
    <w:rsid w:val="008347CC"/>
    <w:rsid w:val="00834819"/>
    <w:rsid w:val="008349DD"/>
    <w:rsid w:val="00834C61"/>
    <w:rsid w:val="00834CEC"/>
    <w:rsid w:val="0083552A"/>
    <w:rsid w:val="00835A1E"/>
    <w:rsid w:val="00835A4E"/>
    <w:rsid w:val="00835BB0"/>
    <w:rsid w:val="00835EFD"/>
    <w:rsid w:val="00836774"/>
    <w:rsid w:val="00836B8C"/>
    <w:rsid w:val="00837095"/>
    <w:rsid w:val="00837472"/>
    <w:rsid w:val="00837539"/>
    <w:rsid w:val="00837D68"/>
    <w:rsid w:val="00837F5E"/>
    <w:rsid w:val="00837F83"/>
    <w:rsid w:val="00840200"/>
    <w:rsid w:val="00840390"/>
    <w:rsid w:val="00840D68"/>
    <w:rsid w:val="00841163"/>
    <w:rsid w:val="00841348"/>
    <w:rsid w:val="00841476"/>
    <w:rsid w:val="00841A81"/>
    <w:rsid w:val="00841BE5"/>
    <w:rsid w:val="00842205"/>
    <w:rsid w:val="00842423"/>
    <w:rsid w:val="00842688"/>
    <w:rsid w:val="00843120"/>
    <w:rsid w:val="0084349B"/>
    <w:rsid w:val="008434E9"/>
    <w:rsid w:val="0084355E"/>
    <w:rsid w:val="00843D4C"/>
    <w:rsid w:val="00843F8F"/>
    <w:rsid w:val="0084409F"/>
    <w:rsid w:val="00844165"/>
    <w:rsid w:val="00844261"/>
    <w:rsid w:val="008447ED"/>
    <w:rsid w:val="00844D22"/>
    <w:rsid w:val="00844E1D"/>
    <w:rsid w:val="008459D9"/>
    <w:rsid w:val="00845EDD"/>
    <w:rsid w:val="00846050"/>
    <w:rsid w:val="008462BC"/>
    <w:rsid w:val="00846716"/>
    <w:rsid w:val="00846D0C"/>
    <w:rsid w:val="008473B9"/>
    <w:rsid w:val="00847409"/>
    <w:rsid w:val="00847689"/>
    <w:rsid w:val="00847825"/>
    <w:rsid w:val="00847E14"/>
    <w:rsid w:val="008500E5"/>
    <w:rsid w:val="008501FE"/>
    <w:rsid w:val="00851578"/>
    <w:rsid w:val="00851CFE"/>
    <w:rsid w:val="00853032"/>
    <w:rsid w:val="0085329F"/>
    <w:rsid w:val="008535F6"/>
    <w:rsid w:val="00853782"/>
    <w:rsid w:val="00853819"/>
    <w:rsid w:val="008539CE"/>
    <w:rsid w:val="00853DAD"/>
    <w:rsid w:val="00853F2E"/>
    <w:rsid w:val="00854713"/>
    <w:rsid w:val="008549CE"/>
    <w:rsid w:val="00854F06"/>
    <w:rsid w:val="008550E1"/>
    <w:rsid w:val="0085511D"/>
    <w:rsid w:val="00855752"/>
    <w:rsid w:val="00855772"/>
    <w:rsid w:val="00855DBD"/>
    <w:rsid w:val="0085682E"/>
    <w:rsid w:val="00856971"/>
    <w:rsid w:val="00856B05"/>
    <w:rsid w:val="00856B2E"/>
    <w:rsid w:val="00856DE9"/>
    <w:rsid w:val="0085765F"/>
    <w:rsid w:val="008577A1"/>
    <w:rsid w:val="00857BC2"/>
    <w:rsid w:val="008600BA"/>
    <w:rsid w:val="008602F6"/>
    <w:rsid w:val="0086044E"/>
    <w:rsid w:val="0086061E"/>
    <w:rsid w:val="00860D74"/>
    <w:rsid w:val="00861875"/>
    <w:rsid w:val="00861AB5"/>
    <w:rsid w:val="00861D26"/>
    <w:rsid w:val="00861ED8"/>
    <w:rsid w:val="00861EE9"/>
    <w:rsid w:val="00862830"/>
    <w:rsid w:val="00862B0A"/>
    <w:rsid w:val="008638C4"/>
    <w:rsid w:val="008639D3"/>
    <w:rsid w:val="00863BEF"/>
    <w:rsid w:val="00863C1F"/>
    <w:rsid w:val="00863CD4"/>
    <w:rsid w:val="00863DCD"/>
    <w:rsid w:val="00864037"/>
    <w:rsid w:val="00864268"/>
    <w:rsid w:val="0086474E"/>
    <w:rsid w:val="00864B02"/>
    <w:rsid w:val="00864DF4"/>
    <w:rsid w:val="00864EF1"/>
    <w:rsid w:val="00865272"/>
    <w:rsid w:val="00865399"/>
    <w:rsid w:val="008654A9"/>
    <w:rsid w:val="00865C49"/>
    <w:rsid w:val="00865DEB"/>
    <w:rsid w:val="008660ED"/>
    <w:rsid w:val="0086660E"/>
    <w:rsid w:val="00866643"/>
    <w:rsid w:val="008666D5"/>
    <w:rsid w:val="00866781"/>
    <w:rsid w:val="00866F81"/>
    <w:rsid w:val="008672E3"/>
    <w:rsid w:val="008673A3"/>
    <w:rsid w:val="0086758A"/>
    <w:rsid w:val="0086780B"/>
    <w:rsid w:val="00867860"/>
    <w:rsid w:val="0086788B"/>
    <w:rsid w:val="00870147"/>
    <w:rsid w:val="0087029B"/>
    <w:rsid w:val="00870388"/>
    <w:rsid w:val="00870550"/>
    <w:rsid w:val="008711DB"/>
    <w:rsid w:val="00871449"/>
    <w:rsid w:val="00871592"/>
    <w:rsid w:val="00871805"/>
    <w:rsid w:val="00871D07"/>
    <w:rsid w:val="0087207A"/>
    <w:rsid w:val="008723EF"/>
    <w:rsid w:val="00872403"/>
    <w:rsid w:val="0087264F"/>
    <w:rsid w:val="0087270D"/>
    <w:rsid w:val="00872B20"/>
    <w:rsid w:val="00872D5E"/>
    <w:rsid w:val="008733CF"/>
    <w:rsid w:val="00873485"/>
    <w:rsid w:val="008737F7"/>
    <w:rsid w:val="00873F18"/>
    <w:rsid w:val="00874233"/>
    <w:rsid w:val="00874812"/>
    <w:rsid w:val="00874B4C"/>
    <w:rsid w:val="00874CB2"/>
    <w:rsid w:val="00874D7E"/>
    <w:rsid w:val="008751CA"/>
    <w:rsid w:val="0087539C"/>
    <w:rsid w:val="00875A55"/>
    <w:rsid w:val="00875C7F"/>
    <w:rsid w:val="00875C8A"/>
    <w:rsid w:val="00875D29"/>
    <w:rsid w:val="00875E6A"/>
    <w:rsid w:val="00876565"/>
    <w:rsid w:val="008767FC"/>
    <w:rsid w:val="00876A4C"/>
    <w:rsid w:val="00876D8D"/>
    <w:rsid w:val="00876FF0"/>
    <w:rsid w:val="00877288"/>
    <w:rsid w:val="008775E8"/>
    <w:rsid w:val="00877637"/>
    <w:rsid w:val="00877C93"/>
    <w:rsid w:val="00880AE0"/>
    <w:rsid w:val="00880FDF"/>
    <w:rsid w:val="008810AA"/>
    <w:rsid w:val="008814EB"/>
    <w:rsid w:val="008818AD"/>
    <w:rsid w:val="00881E39"/>
    <w:rsid w:val="00882248"/>
    <w:rsid w:val="00882EC5"/>
    <w:rsid w:val="00883368"/>
    <w:rsid w:val="008833E8"/>
    <w:rsid w:val="00883438"/>
    <w:rsid w:val="00883541"/>
    <w:rsid w:val="008838B8"/>
    <w:rsid w:val="00883AA5"/>
    <w:rsid w:val="008840B9"/>
    <w:rsid w:val="008840C9"/>
    <w:rsid w:val="00884148"/>
    <w:rsid w:val="00884B9C"/>
    <w:rsid w:val="00884C99"/>
    <w:rsid w:val="00885263"/>
    <w:rsid w:val="00885307"/>
    <w:rsid w:val="008853C2"/>
    <w:rsid w:val="00885702"/>
    <w:rsid w:val="008857C5"/>
    <w:rsid w:val="0088588B"/>
    <w:rsid w:val="00885BE1"/>
    <w:rsid w:val="00886305"/>
    <w:rsid w:val="00886473"/>
    <w:rsid w:val="008867D2"/>
    <w:rsid w:val="00886D9D"/>
    <w:rsid w:val="00886F48"/>
    <w:rsid w:val="00887BEB"/>
    <w:rsid w:val="00887C30"/>
    <w:rsid w:val="00890080"/>
    <w:rsid w:val="0089019A"/>
    <w:rsid w:val="0089028B"/>
    <w:rsid w:val="008903F6"/>
    <w:rsid w:val="00890A97"/>
    <w:rsid w:val="00890C4B"/>
    <w:rsid w:val="00890C9C"/>
    <w:rsid w:val="00890DE6"/>
    <w:rsid w:val="00891DD9"/>
    <w:rsid w:val="0089214B"/>
    <w:rsid w:val="008922FD"/>
    <w:rsid w:val="0089236A"/>
    <w:rsid w:val="00892CEE"/>
    <w:rsid w:val="0089323C"/>
    <w:rsid w:val="00893280"/>
    <w:rsid w:val="0089330A"/>
    <w:rsid w:val="00893B7A"/>
    <w:rsid w:val="00893D64"/>
    <w:rsid w:val="008940E5"/>
    <w:rsid w:val="008941E3"/>
    <w:rsid w:val="00894202"/>
    <w:rsid w:val="0089420B"/>
    <w:rsid w:val="00894482"/>
    <w:rsid w:val="00894A26"/>
    <w:rsid w:val="0089575A"/>
    <w:rsid w:val="00895908"/>
    <w:rsid w:val="0089594B"/>
    <w:rsid w:val="00895D6B"/>
    <w:rsid w:val="0089609C"/>
    <w:rsid w:val="00896178"/>
    <w:rsid w:val="008965C5"/>
    <w:rsid w:val="008966EF"/>
    <w:rsid w:val="00896EDB"/>
    <w:rsid w:val="0089722C"/>
    <w:rsid w:val="008972B0"/>
    <w:rsid w:val="0089758D"/>
    <w:rsid w:val="008977B9"/>
    <w:rsid w:val="008A0022"/>
    <w:rsid w:val="008A0193"/>
    <w:rsid w:val="008A01B9"/>
    <w:rsid w:val="008A084C"/>
    <w:rsid w:val="008A0EA5"/>
    <w:rsid w:val="008A15AF"/>
    <w:rsid w:val="008A1604"/>
    <w:rsid w:val="008A171A"/>
    <w:rsid w:val="008A192B"/>
    <w:rsid w:val="008A1B1F"/>
    <w:rsid w:val="008A1C4E"/>
    <w:rsid w:val="008A205E"/>
    <w:rsid w:val="008A2060"/>
    <w:rsid w:val="008A22A3"/>
    <w:rsid w:val="008A2999"/>
    <w:rsid w:val="008A2AFC"/>
    <w:rsid w:val="008A2F8D"/>
    <w:rsid w:val="008A33D6"/>
    <w:rsid w:val="008A35AD"/>
    <w:rsid w:val="008A3620"/>
    <w:rsid w:val="008A37E0"/>
    <w:rsid w:val="008A451F"/>
    <w:rsid w:val="008A4560"/>
    <w:rsid w:val="008A4AC9"/>
    <w:rsid w:val="008A4C90"/>
    <w:rsid w:val="008A4D89"/>
    <w:rsid w:val="008A503C"/>
    <w:rsid w:val="008A5407"/>
    <w:rsid w:val="008A5995"/>
    <w:rsid w:val="008A604C"/>
    <w:rsid w:val="008A6301"/>
    <w:rsid w:val="008A67FB"/>
    <w:rsid w:val="008A6870"/>
    <w:rsid w:val="008A6F38"/>
    <w:rsid w:val="008A7CEC"/>
    <w:rsid w:val="008A7DC2"/>
    <w:rsid w:val="008B08F3"/>
    <w:rsid w:val="008B0C0A"/>
    <w:rsid w:val="008B0E8A"/>
    <w:rsid w:val="008B0F18"/>
    <w:rsid w:val="008B1185"/>
    <w:rsid w:val="008B1266"/>
    <w:rsid w:val="008B1710"/>
    <w:rsid w:val="008B17E8"/>
    <w:rsid w:val="008B19AE"/>
    <w:rsid w:val="008B19B5"/>
    <w:rsid w:val="008B1F71"/>
    <w:rsid w:val="008B28CE"/>
    <w:rsid w:val="008B28ED"/>
    <w:rsid w:val="008B2C16"/>
    <w:rsid w:val="008B2ECF"/>
    <w:rsid w:val="008B3270"/>
    <w:rsid w:val="008B3B4C"/>
    <w:rsid w:val="008B3B76"/>
    <w:rsid w:val="008B3C5A"/>
    <w:rsid w:val="008B3D35"/>
    <w:rsid w:val="008B40FC"/>
    <w:rsid w:val="008B42EB"/>
    <w:rsid w:val="008B4FCE"/>
    <w:rsid w:val="008B514C"/>
    <w:rsid w:val="008B5389"/>
    <w:rsid w:val="008B54D7"/>
    <w:rsid w:val="008B55D8"/>
    <w:rsid w:val="008B5817"/>
    <w:rsid w:val="008B5B7C"/>
    <w:rsid w:val="008B5CF8"/>
    <w:rsid w:val="008B5FA1"/>
    <w:rsid w:val="008B62F9"/>
    <w:rsid w:val="008B6CCC"/>
    <w:rsid w:val="008B72AB"/>
    <w:rsid w:val="008B7935"/>
    <w:rsid w:val="008B7A0B"/>
    <w:rsid w:val="008B7A25"/>
    <w:rsid w:val="008B7BC9"/>
    <w:rsid w:val="008B7F3A"/>
    <w:rsid w:val="008B7FCA"/>
    <w:rsid w:val="008C01E7"/>
    <w:rsid w:val="008C0698"/>
    <w:rsid w:val="008C0969"/>
    <w:rsid w:val="008C0BAA"/>
    <w:rsid w:val="008C0CA8"/>
    <w:rsid w:val="008C106F"/>
    <w:rsid w:val="008C107B"/>
    <w:rsid w:val="008C1AD3"/>
    <w:rsid w:val="008C1E09"/>
    <w:rsid w:val="008C1EA3"/>
    <w:rsid w:val="008C2638"/>
    <w:rsid w:val="008C2B1B"/>
    <w:rsid w:val="008C2E86"/>
    <w:rsid w:val="008C2F89"/>
    <w:rsid w:val="008C325A"/>
    <w:rsid w:val="008C327A"/>
    <w:rsid w:val="008C3B18"/>
    <w:rsid w:val="008C3C46"/>
    <w:rsid w:val="008C3D96"/>
    <w:rsid w:val="008C3E12"/>
    <w:rsid w:val="008C4221"/>
    <w:rsid w:val="008C4AE1"/>
    <w:rsid w:val="008C5120"/>
    <w:rsid w:val="008C513A"/>
    <w:rsid w:val="008C5198"/>
    <w:rsid w:val="008C5518"/>
    <w:rsid w:val="008C5882"/>
    <w:rsid w:val="008C5A44"/>
    <w:rsid w:val="008C5B30"/>
    <w:rsid w:val="008C5D83"/>
    <w:rsid w:val="008C6163"/>
    <w:rsid w:val="008C616A"/>
    <w:rsid w:val="008C62B6"/>
    <w:rsid w:val="008C6615"/>
    <w:rsid w:val="008C6623"/>
    <w:rsid w:val="008C686D"/>
    <w:rsid w:val="008C6F13"/>
    <w:rsid w:val="008C7031"/>
    <w:rsid w:val="008C76B8"/>
    <w:rsid w:val="008D0596"/>
    <w:rsid w:val="008D05A4"/>
    <w:rsid w:val="008D0622"/>
    <w:rsid w:val="008D0838"/>
    <w:rsid w:val="008D0ACE"/>
    <w:rsid w:val="008D0B61"/>
    <w:rsid w:val="008D0C7C"/>
    <w:rsid w:val="008D0D1E"/>
    <w:rsid w:val="008D0DD5"/>
    <w:rsid w:val="008D0E83"/>
    <w:rsid w:val="008D0F98"/>
    <w:rsid w:val="008D123E"/>
    <w:rsid w:val="008D13DA"/>
    <w:rsid w:val="008D16A4"/>
    <w:rsid w:val="008D1B69"/>
    <w:rsid w:val="008D1BF0"/>
    <w:rsid w:val="008D1C55"/>
    <w:rsid w:val="008D1FDD"/>
    <w:rsid w:val="008D25A9"/>
    <w:rsid w:val="008D29EE"/>
    <w:rsid w:val="008D2AB6"/>
    <w:rsid w:val="008D2AE1"/>
    <w:rsid w:val="008D2C0D"/>
    <w:rsid w:val="008D2C4A"/>
    <w:rsid w:val="008D2C8C"/>
    <w:rsid w:val="008D2EE9"/>
    <w:rsid w:val="008D3105"/>
    <w:rsid w:val="008D37DB"/>
    <w:rsid w:val="008D3B8F"/>
    <w:rsid w:val="008D3F9F"/>
    <w:rsid w:val="008D3FB2"/>
    <w:rsid w:val="008D3FE8"/>
    <w:rsid w:val="008D40B6"/>
    <w:rsid w:val="008D4737"/>
    <w:rsid w:val="008D4753"/>
    <w:rsid w:val="008D4B7E"/>
    <w:rsid w:val="008D4CBB"/>
    <w:rsid w:val="008D4D65"/>
    <w:rsid w:val="008D51BB"/>
    <w:rsid w:val="008D535F"/>
    <w:rsid w:val="008D5403"/>
    <w:rsid w:val="008D5698"/>
    <w:rsid w:val="008D57C8"/>
    <w:rsid w:val="008D5F58"/>
    <w:rsid w:val="008D6787"/>
    <w:rsid w:val="008D6C23"/>
    <w:rsid w:val="008D6C94"/>
    <w:rsid w:val="008D6CFB"/>
    <w:rsid w:val="008D779C"/>
    <w:rsid w:val="008D79E0"/>
    <w:rsid w:val="008D7D7A"/>
    <w:rsid w:val="008E00DC"/>
    <w:rsid w:val="008E01A5"/>
    <w:rsid w:val="008E073A"/>
    <w:rsid w:val="008E07C2"/>
    <w:rsid w:val="008E0812"/>
    <w:rsid w:val="008E086D"/>
    <w:rsid w:val="008E0A92"/>
    <w:rsid w:val="008E0E64"/>
    <w:rsid w:val="008E0EE5"/>
    <w:rsid w:val="008E1159"/>
    <w:rsid w:val="008E154D"/>
    <w:rsid w:val="008E1B0E"/>
    <w:rsid w:val="008E1BFE"/>
    <w:rsid w:val="008E230D"/>
    <w:rsid w:val="008E28A4"/>
    <w:rsid w:val="008E2AC3"/>
    <w:rsid w:val="008E2E29"/>
    <w:rsid w:val="008E2F08"/>
    <w:rsid w:val="008E2FD3"/>
    <w:rsid w:val="008E3061"/>
    <w:rsid w:val="008E311E"/>
    <w:rsid w:val="008E3307"/>
    <w:rsid w:val="008E37F9"/>
    <w:rsid w:val="008E3988"/>
    <w:rsid w:val="008E3AA0"/>
    <w:rsid w:val="008E3F55"/>
    <w:rsid w:val="008E4565"/>
    <w:rsid w:val="008E463F"/>
    <w:rsid w:val="008E474E"/>
    <w:rsid w:val="008E4827"/>
    <w:rsid w:val="008E4FD0"/>
    <w:rsid w:val="008E5174"/>
    <w:rsid w:val="008E5336"/>
    <w:rsid w:val="008E53DA"/>
    <w:rsid w:val="008E559F"/>
    <w:rsid w:val="008E5C42"/>
    <w:rsid w:val="008E5E6E"/>
    <w:rsid w:val="008E5FE1"/>
    <w:rsid w:val="008E6280"/>
    <w:rsid w:val="008E6890"/>
    <w:rsid w:val="008E6902"/>
    <w:rsid w:val="008E7B2B"/>
    <w:rsid w:val="008E7B51"/>
    <w:rsid w:val="008E7FAE"/>
    <w:rsid w:val="008F0318"/>
    <w:rsid w:val="008F031E"/>
    <w:rsid w:val="008F0EEA"/>
    <w:rsid w:val="008F17A7"/>
    <w:rsid w:val="008F18B2"/>
    <w:rsid w:val="008F1922"/>
    <w:rsid w:val="008F1956"/>
    <w:rsid w:val="008F1A42"/>
    <w:rsid w:val="008F1CCD"/>
    <w:rsid w:val="008F1E55"/>
    <w:rsid w:val="008F2065"/>
    <w:rsid w:val="008F27A4"/>
    <w:rsid w:val="008F2F29"/>
    <w:rsid w:val="008F2F46"/>
    <w:rsid w:val="008F3321"/>
    <w:rsid w:val="008F387D"/>
    <w:rsid w:val="008F38A0"/>
    <w:rsid w:val="008F39CC"/>
    <w:rsid w:val="008F39D8"/>
    <w:rsid w:val="008F3AB5"/>
    <w:rsid w:val="008F3D9A"/>
    <w:rsid w:val="008F3E63"/>
    <w:rsid w:val="008F3EC7"/>
    <w:rsid w:val="008F460F"/>
    <w:rsid w:val="008F4806"/>
    <w:rsid w:val="008F4907"/>
    <w:rsid w:val="008F490F"/>
    <w:rsid w:val="008F5542"/>
    <w:rsid w:val="008F58C9"/>
    <w:rsid w:val="008F5D88"/>
    <w:rsid w:val="008F61CF"/>
    <w:rsid w:val="008F63AB"/>
    <w:rsid w:val="008F6780"/>
    <w:rsid w:val="008F67FA"/>
    <w:rsid w:val="008F762D"/>
    <w:rsid w:val="008F767A"/>
    <w:rsid w:val="008F7813"/>
    <w:rsid w:val="008F7899"/>
    <w:rsid w:val="008F7C38"/>
    <w:rsid w:val="009003F7"/>
    <w:rsid w:val="0090044D"/>
    <w:rsid w:val="00900A5C"/>
    <w:rsid w:val="00900F4A"/>
    <w:rsid w:val="0090106C"/>
    <w:rsid w:val="009012DB"/>
    <w:rsid w:val="00901376"/>
    <w:rsid w:val="009017A1"/>
    <w:rsid w:val="00901E48"/>
    <w:rsid w:val="009021EC"/>
    <w:rsid w:val="00902C44"/>
    <w:rsid w:val="00902D0B"/>
    <w:rsid w:val="00902E10"/>
    <w:rsid w:val="00903044"/>
    <w:rsid w:val="0090317D"/>
    <w:rsid w:val="009031BB"/>
    <w:rsid w:val="0090330F"/>
    <w:rsid w:val="00903889"/>
    <w:rsid w:val="009039FF"/>
    <w:rsid w:val="00903A0C"/>
    <w:rsid w:val="00903A7A"/>
    <w:rsid w:val="00903CCA"/>
    <w:rsid w:val="00903E50"/>
    <w:rsid w:val="00903EBF"/>
    <w:rsid w:val="0090441A"/>
    <w:rsid w:val="0090451C"/>
    <w:rsid w:val="0090464D"/>
    <w:rsid w:val="00904A9C"/>
    <w:rsid w:val="00904D22"/>
    <w:rsid w:val="00904EA7"/>
    <w:rsid w:val="00904EAF"/>
    <w:rsid w:val="00904EBD"/>
    <w:rsid w:val="00904F34"/>
    <w:rsid w:val="0090554B"/>
    <w:rsid w:val="009057CD"/>
    <w:rsid w:val="009058E9"/>
    <w:rsid w:val="0090591C"/>
    <w:rsid w:val="00906058"/>
    <w:rsid w:val="009063C3"/>
    <w:rsid w:val="0090688A"/>
    <w:rsid w:val="00906899"/>
    <w:rsid w:val="00906B6F"/>
    <w:rsid w:val="009071FB"/>
    <w:rsid w:val="00907671"/>
    <w:rsid w:val="00907C53"/>
    <w:rsid w:val="00907D87"/>
    <w:rsid w:val="00907DD4"/>
    <w:rsid w:val="00907F10"/>
    <w:rsid w:val="00907F4B"/>
    <w:rsid w:val="00910567"/>
    <w:rsid w:val="009105B1"/>
    <w:rsid w:val="00910C2A"/>
    <w:rsid w:val="00911052"/>
    <w:rsid w:val="00911447"/>
    <w:rsid w:val="00911475"/>
    <w:rsid w:val="0091178B"/>
    <w:rsid w:val="00911FD3"/>
    <w:rsid w:val="00911FF1"/>
    <w:rsid w:val="00912134"/>
    <w:rsid w:val="009121CB"/>
    <w:rsid w:val="0091234C"/>
    <w:rsid w:val="00912626"/>
    <w:rsid w:val="00912844"/>
    <w:rsid w:val="00912A0B"/>
    <w:rsid w:val="009130AD"/>
    <w:rsid w:val="00913379"/>
    <w:rsid w:val="009133E4"/>
    <w:rsid w:val="009139F2"/>
    <w:rsid w:val="00913B7D"/>
    <w:rsid w:val="00914021"/>
    <w:rsid w:val="0091430E"/>
    <w:rsid w:val="009148CD"/>
    <w:rsid w:val="00914976"/>
    <w:rsid w:val="00914D0E"/>
    <w:rsid w:val="00914E6A"/>
    <w:rsid w:val="00915264"/>
    <w:rsid w:val="009152D7"/>
    <w:rsid w:val="0091562F"/>
    <w:rsid w:val="009158F0"/>
    <w:rsid w:val="00915E74"/>
    <w:rsid w:val="00916305"/>
    <w:rsid w:val="0091642A"/>
    <w:rsid w:val="00916A02"/>
    <w:rsid w:val="00916D01"/>
    <w:rsid w:val="00916DC5"/>
    <w:rsid w:val="00917614"/>
    <w:rsid w:val="009178C6"/>
    <w:rsid w:val="00917CD7"/>
    <w:rsid w:val="00917DB8"/>
    <w:rsid w:val="009201DC"/>
    <w:rsid w:val="00920BE5"/>
    <w:rsid w:val="00920CDA"/>
    <w:rsid w:val="00920E1B"/>
    <w:rsid w:val="00920E62"/>
    <w:rsid w:val="009210BF"/>
    <w:rsid w:val="00921133"/>
    <w:rsid w:val="009216A6"/>
    <w:rsid w:val="0092185E"/>
    <w:rsid w:val="00921A04"/>
    <w:rsid w:val="00921BA5"/>
    <w:rsid w:val="00921C2B"/>
    <w:rsid w:val="009228CC"/>
    <w:rsid w:val="0092298D"/>
    <w:rsid w:val="00922E91"/>
    <w:rsid w:val="00922F5C"/>
    <w:rsid w:val="00923725"/>
    <w:rsid w:val="00923A8A"/>
    <w:rsid w:val="009249C3"/>
    <w:rsid w:val="00924B90"/>
    <w:rsid w:val="00924DAE"/>
    <w:rsid w:val="0092512C"/>
    <w:rsid w:val="0092518C"/>
    <w:rsid w:val="009253F3"/>
    <w:rsid w:val="009258C6"/>
    <w:rsid w:val="0092621E"/>
    <w:rsid w:val="0092644D"/>
    <w:rsid w:val="009269EC"/>
    <w:rsid w:val="00926A59"/>
    <w:rsid w:val="00926CE0"/>
    <w:rsid w:val="009270EB"/>
    <w:rsid w:val="009274B0"/>
    <w:rsid w:val="009275A8"/>
    <w:rsid w:val="009301E7"/>
    <w:rsid w:val="00930257"/>
    <w:rsid w:val="00930407"/>
    <w:rsid w:val="009304D0"/>
    <w:rsid w:val="0093057C"/>
    <w:rsid w:val="0093074D"/>
    <w:rsid w:val="00930F8E"/>
    <w:rsid w:val="009310CF"/>
    <w:rsid w:val="00931592"/>
    <w:rsid w:val="00931830"/>
    <w:rsid w:val="009318F3"/>
    <w:rsid w:val="00931E24"/>
    <w:rsid w:val="00931F4C"/>
    <w:rsid w:val="009327A2"/>
    <w:rsid w:val="00932BBA"/>
    <w:rsid w:val="009333D0"/>
    <w:rsid w:val="00933F29"/>
    <w:rsid w:val="00934817"/>
    <w:rsid w:val="00934881"/>
    <w:rsid w:val="00934CE9"/>
    <w:rsid w:val="00935250"/>
    <w:rsid w:val="00935636"/>
    <w:rsid w:val="00935DD1"/>
    <w:rsid w:val="00936017"/>
    <w:rsid w:val="0093603B"/>
    <w:rsid w:val="00936971"/>
    <w:rsid w:val="00936EA8"/>
    <w:rsid w:val="00937022"/>
    <w:rsid w:val="009371F2"/>
    <w:rsid w:val="0093750B"/>
    <w:rsid w:val="00937660"/>
    <w:rsid w:val="009376A4"/>
    <w:rsid w:val="00937B53"/>
    <w:rsid w:val="00937CAC"/>
    <w:rsid w:val="00937F2C"/>
    <w:rsid w:val="00940095"/>
    <w:rsid w:val="009401F0"/>
    <w:rsid w:val="009402DE"/>
    <w:rsid w:val="009402FB"/>
    <w:rsid w:val="00940415"/>
    <w:rsid w:val="0094042B"/>
    <w:rsid w:val="00940A4B"/>
    <w:rsid w:val="00940F4D"/>
    <w:rsid w:val="009413CC"/>
    <w:rsid w:val="00941517"/>
    <w:rsid w:val="00941BB4"/>
    <w:rsid w:val="009427DB"/>
    <w:rsid w:val="009432E0"/>
    <w:rsid w:val="009437FA"/>
    <w:rsid w:val="0094382F"/>
    <w:rsid w:val="00943C28"/>
    <w:rsid w:val="0094401B"/>
    <w:rsid w:val="00944C4A"/>
    <w:rsid w:val="00945E9F"/>
    <w:rsid w:val="00945FDF"/>
    <w:rsid w:val="00946302"/>
    <w:rsid w:val="00946C0F"/>
    <w:rsid w:val="009471FC"/>
    <w:rsid w:val="0094732F"/>
    <w:rsid w:val="0095019D"/>
    <w:rsid w:val="009501D2"/>
    <w:rsid w:val="00950291"/>
    <w:rsid w:val="00950780"/>
    <w:rsid w:val="009517AD"/>
    <w:rsid w:val="00951B0F"/>
    <w:rsid w:val="00951B6F"/>
    <w:rsid w:val="00951CEF"/>
    <w:rsid w:val="00951D0A"/>
    <w:rsid w:val="00951D2D"/>
    <w:rsid w:val="00951DA7"/>
    <w:rsid w:val="009525A6"/>
    <w:rsid w:val="009525CE"/>
    <w:rsid w:val="009526D3"/>
    <w:rsid w:val="009527E0"/>
    <w:rsid w:val="00953BB0"/>
    <w:rsid w:val="00953DF0"/>
    <w:rsid w:val="00953F41"/>
    <w:rsid w:val="009541B4"/>
    <w:rsid w:val="0095493B"/>
    <w:rsid w:val="009549A4"/>
    <w:rsid w:val="00954C79"/>
    <w:rsid w:val="00954DF9"/>
    <w:rsid w:val="00955313"/>
    <w:rsid w:val="00955374"/>
    <w:rsid w:val="00955448"/>
    <w:rsid w:val="009558B6"/>
    <w:rsid w:val="00955C16"/>
    <w:rsid w:val="00955FED"/>
    <w:rsid w:val="00956732"/>
    <w:rsid w:val="00956A48"/>
    <w:rsid w:val="00956C86"/>
    <w:rsid w:val="00956DCF"/>
    <w:rsid w:val="0095701A"/>
    <w:rsid w:val="00957328"/>
    <w:rsid w:val="009573D0"/>
    <w:rsid w:val="00957439"/>
    <w:rsid w:val="00957603"/>
    <w:rsid w:val="009600D4"/>
    <w:rsid w:val="009601F1"/>
    <w:rsid w:val="009603D1"/>
    <w:rsid w:val="00960782"/>
    <w:rsid w:val="00960C62"/>
    <w:rsid w:val="00960F1C"/>
    <w:rsid w:val="009611D1"/>
    <w:rsid w:val="009613B0"/>
    <w:rsid w:val="00961944"/>
    <w:rsid w:val="00961C1B"/>
    <w:rsid w:val="00962070"/>
    <w:rsid w:val="00962091"/>
    <w:rsid w:val="00962D40"/>
    <w:rsid w:val="009636D3"/>
    <w:rsid w:val="00963E23"/>
    <w:rsid w:val="009640CF"/>
    <w:rsid w:val="009643B6"/>
    <w:rsid w:val="0096449E"/>
    <w:rsid w:val="00964AFC"/>
    <w:rsid w:val="00965340"/>
    <w:rsid w:val="0096539E"/>
    <w:rsid w:val="00965608"/>
    <w:rsid w:val="0096569A"/>
    <w:rsid w:val="00965783"/>
    <w:rsid w:val="00965A09"/>
    <w:rsid w:val="00965BA0"/>
    <w:rsid w:val="00965E37"/>
    <w:rsid w:val="009661A6"/>
    <w:rsid w:val="0096633B"/>
    <w:rsid w:val="009663C6"/>
    <w:rsid w:val="009664A2"/>
    <w:rsid w:val="009665FD"/>
    <w:rsid w:val="00966B0D"/>
    <w:rsid w:val="00966D84"/>
    <w:rsid w:val="00966E53"/>
    <w:rsid w:val="00967971"/>
    <w:rsid w:val="00967B99"/>
    <w:rsid w:val="00967D6D"/>
    <w:rsid w:val="00967FCC"/>
    <w:rsid w:val="0097018D"/>
    <w:rsid w:val="009701B0"/>
    <w:rsid w:val="009703C2"/>
    <w:rsid w:val="009703C6"/>
    <w:rsid w:val="009705CC"/>
    <w:rsid w:val="009705D0"/>
    <w:rsid w:val="00970A0A"/>
    <w:rsid w:val="00970C88"/>
    <w:rsid w:val="00970E78"/>
    <w:rsid w:val="009710B8"/>
    <w:rsid w:val="009711C3"/>
    <w:rsid w:val="0097173D"/>
    <w:rsid w:val="00971E4E"/>
    <w:rsid w:val="00971FFE"/>
    <w:rsid w:val="0097218C"/>
    <w:rsid w:val="0097222B"/>
    <w:rsid w:val="0097224A"/>
    <w:rsid w:val="00972682"/>
    <w:rsid w:val="009728CE"/>
    <w:rsid w:val="00972ABB"/>
    <w:rsid w:val="00973190"/>
    <w:rsid w:val="009731B1"/>
    <w:rsid w:val="009731FD"/>
    <w:rsid w:val="00973246"/>
    <w:rsid w:val="00973356"/>
    <w:rsid w:val="009733A2"/>
    <w:rsid w:val="009735B4"/>
    <w:rsid w:val="0097461C"/>
    <w:rsid w:val="00975219"/>
    <w:rsid w:val="00975E13"/>
    <w:rsid w:val="00976308"/>
    <w:rsid w:val="00976C13"/>
    <w:rsid w:val="00976CFE"/>
    <w:rsid w:val="00976D19"/>
    <w:rsid w:val="00976EF3"/>
    <w:rsid w:val="00976FE3"/>
    <w:rsid w:val="009771F8"/>
    <w:rsid w:val="00977850"/>
    <w:rsid w:val="00977F15"/>
    <w:rsid w:val="009801EE"/>
    <w:rsid w:val="0098023D"/>
    <w:rsid w:val="00980424"/>
    <w:rsid w:val="00980441"/>
    <w:rsid w:val="0098111F"/>
    <w:rsid w:val="009814F5"/>
    <w:rsid w:val="009819B5"/>
    <w:rsid w:val="00981FE7"/>
    <w:rsid w:val="0098203A"/>
    <w:rsid w:val="009822CF"/>
    <w:rsid w:val="00982329"/>
    <w:rsid w:val="00983AC5"/>
    <w:rsid w:val="00983AC6"/>
    <w:rsid w:val="0098419C"/>
    <w:rsid w:val="009842CC"/>
    <w:rsid w:val="0098497A"/>
    <w:rsid w:val="00984CE5"/>
    <w:rsid w:val="00984DDA"/>
    <w:rsid w:val="00985096"/>
    <w:rsid w:val="009852D7"/>
    <w:rsid w:val="0098567B"/>
    <w:rsid w:val="009857CE"/>
    <w:rsid w:val="00985826"/>
    <w:rsid w:val="00985D80"/>
    <w:rsid w:val="00985F51"/>
    <w:rsid w:val="00985F6E"/>
    <w:rsid w:val="0098634E"/>
    <w:rsid w:val="00986632"/>
    <w:rsid w:val="00987630"/>
    <w:rsid w:val="00987B06"/>
    <w:rsid w:val="00987C12"/>
    <w:rsid w:val="00987D0F"/>
    <w:rsid w:val="00987E9E"/>
    <w:rsid w:val="00990049"/>
    <w:rsid w:val="00990382"/>
    <w:rsid w:val="009906CD"/>
    <w:rsid w:val="00990AB1"/>
    <w:rsid w:val="00990B17"/>
    <w:rsid w:val="00990EA2"/>
    <w:rsid w:val="009914AA"/>
    <w:rsid w:val="00991784"/>
    <w:rsid w:val="00991C4C"/>
    <w:rsid w:val="00992834"/>
    <w:rsid w:val="00992A76"/>
    <w:rsid w:val="00992D7F"/>
    <w:rsid w:val="00993060"/>
    <w:rsid w:val="00993406"/>
    <w:rsid w:val="00993537"/>
    <w:rsid w:val="00993562"/>
    <w:rsid w:val="00993901"/>
    <w:rsid w:val="00993B7C"/>
    <w:rsid w:val="00993BB0"/>
    <w:rsid w:val="00993BDD"/>
    <w:rsid w:val="00994075"/>
    <w:rsid w:val="00994315"/>
    <w:rsid w:val="009945A5"/>
    <w:rsid w:val="00995038"/>
    <w:rsid w:val="009954B8"/>
    <w:rsid w:val="009959F8"/>
    <w:rsid w:val="00995A76"/>
    <w:rsid w:val="00995B3E"/>
    <w:rsid w:val="00995B9D"/>
    <w:rsid w:val="00995D31"/>
    <w:rsid w:val="00996800"/>
    <w:rsid w:val="0099688E"/>
    <w:rsid w:val="00997147"/>
    <w:rsid w:val="0099714C"/>
    <w:rsid w:val="0099725F"/>
    <w:rsid w:val="00997321"/>
    <w:rsid w:val="009975C4"/>
    <w:rsid w:val="0099776E"/>
    <w:rsid w:val="0099782E"/>
    <w:rsid w:val="00997B90"/>
    <w:rsid w:val="00997CB4"/>
    <w:rsid w:val="00997DED"/>
    <w:rsid w:val="00997EBA"/>
    <w:rsid w:val="00997F32"/>
    <w:rsid w:val="009A0226"/>
    <w:rsid w:val="009A0345"/>
    <w:rsid w:val="009A06F4"/>
    <w:rsid w:val="009A094A"/>
    <w:rsid w:val="009A0983"/>
    <w:rsid w:val="009A0EB7"/>
    <w:rsid w:val="009A1335"/>
    <w:rsid w:val="009A1680"/>
    <w:rsid w:val="009A18B1"/>
    <w:rsid w:val="009A1A9B"/>
    <w:rsid w:val="009A1B24"/>
    <w:rsid w:val="009A1B78"/>
    <w:rsid w:val="009A1F01"/>
    <w:rsid w:val="009A2005"/>
    <w:rsid w:val="009A2140"/>
    <w:rsid w:val="009A2400"/>
    <w:rsid w:val="009A2658"/>
    <w:rsid w:val="009A2983"/>
    <w:rsid w:val="009A2A5F"/>
    <w:rsid w:val="009A2C15"/>
    <w:rsid w:val="009A2D4C"/>
    <w:rsid w:val="009A30F2"/>
    <w:rsid w:val="009A317E"/>
    <w:rsid w:val="009A3521"/>
    <w:rsid w:val="009A3A8E"/>
    <w:rsid w:val="009A3E38"/>
    <w:rsid w:val="009A3F23"/>
    <w:rsid w:val="009A3FF8"/>
    <w:rsid w:val="009A415C"/>
    <w:rsid w:val="009A4571"/>
    <w:rsid w:val="009A4805"/>
    <w:rsid w:val="009A4A9E"/>
    <w:rsid w:val="009A4B73"/>
    <w:rsid w:val="009A5078"/>
    <w:rsid w:val="009A519F"/>
    <w:rsid w:val="009A58B8"/>
    <w:rsid w:val="009A59A5"/>
    <w:rsid w:val="009A5AB4"/>
    <w:rsid w:val="009A5B57"/>
    <w:rsid w:val="009A6193"/>
    <w:rsid w:val="009A64F0"/>
    <w:rsid w:val="009A6A1F"/>
    <w:rsid w:val="009A6CDB"/>
    <w:rsid w:val="009A70A5"/>
    <w:rsid w:val="009A711B"/>
    <w:rsid w:val="009A761C"/>
    <w:rsid w:val="009A776C"/>
    <w:rsid w:val="009A7778"/>
    <w:rsid w:val="009A7AFB"/>
    <w:rsid w:val="009A7BD8"/>
    <w:rsid w:val="009A7F1D"/>
    <w:rsid w:val="009B0219"/>
    <w:rsid w:val="009B0362"/>
    <w:rsid w:val="009B0CFF"/>
    <w:rsid w:val="009B0D71"/>
    <w:rsid w:val="009B0DDD"/>
    <w:rsid w:val="009B100A"/>
    <w:rsid w:val="009B11EE"/>
    <w:rsid w:val="009B12CE"/>
    <w:rsid w:val="009B17D9"/>
    <w:rsid w:val="009B1A62"/>
    <w:rsid w:val="009B20C3"/>
    <w:rsid w:val="009B20F7"/>
    <w:rsid w:val="009B214A"/>
    <w:rsid w:val="009B21A0"/>
    <w:rsid w:val="009B23FD"/>
    <w:rsid w:val="009B25EA"/>
    <w:rsid w:val="009B29B1"/>
    <w:rsid w:val="009B29F0"/>
    <w:rsid w:val="009B2CC8"/>
    <w:rsid w:val="009B3565"/>
    <w:rsid w:val="009B375A"/>
    <w:rsid w:val="009B3F06"/>
    <w:rsid w:val="009B3F19"/>
    <w:rsid w:val="009B4955"/>
    <w:rsid w:val="009B4D43"/>
    <w:rsid w:val="009B4E0F"/>
    <w:rsid w:val="009B4FA8"/>
    <w:rsid w:val="009B4FFE"/>
    <w:rsid w:val="009B5562"/>
    <w:rsid w:val="009B590E"/>
    <w:rsid w:val="009B5937"/>
    <w:rsid w:val="009B5BAB"/>
    <w:rsid w:val="009B5FAB"/>
    <w:rsid w:val="009B64C6"/>
    <w:rsid w:val="009B64FE"/>
    <w:rsid w:val="009B6708"/>
    <w:rsid w:val="009B7346"/>
    <w:rsid w:val="009B766A"/>
    <w:rsid w:val="009B79DD"/>
    <w:rsid w:val="009B7A40"/>
    <w:rsid w:val="009B7C95"/>
    <w:rsid w:val="009C057E"/>
    <w:rsid w:val="009C073D"/>
    <w:rsid w:val="009C0EB3"/>
    <w:rsid w:val="009C0F9A"/>
    <w:rsid w:val="009C1085"/>
    <w:rsid w:val="009C1830"/>
    <w:rsid w:val="009C18E9"/>
    <w:rsid w:val="009C1A1B"/>
    <w:rsid w:val="009C1C06"/>
    <w:rsid w:val="009C1D0C"/>
    <w:rsid w:val="009C204D"/>
    <w:rsid w:val="009C232E"/>
    <w:rsid w:val="009C28A6"/>
    <w:rsid w:val="009C2ED5"/>
    <w:rsid w:val="009C3330"/>
    <w:rsid w:val="009C3360"/>
    <w:rsid w:val="009C35BF"/>
    <w:rsid w:val="009C395B"/>
    <w:rsid w:val="009C4395"/>
    <w:rsid w:val="009C47FA"/>
    <w:rsid w:val="009C48BF"/>
    <w:rsid w:val="009C5344"/>
    <w:rsid w:val="009C5397"/>
    <w:rsid w:val="009C56CA"/>
    <w:rsid w:val="009C570E"/>
    <w:rsid w:val="009C5B57"/>
    <w:rsid w:val="009C620E"/>
    <w:rsid w:val="009C649C"/>
    <w:rsid w:val="009C699A"/>
    <w:rsid w:val="009C699C"/>
    <w:rsid w:val="009C6F62"/>
    <w:rsid w:val="009C71FA"/>
    <w:rsid w:val="009C72CC"/>
    <w:rsid w:val="009C7316"/>
    <w:rsid w:val="009C7409"/>
    <w:rsid w:val="009C756B"/>
    <w:rsid w:val="009C760F"/>
    <w:rsid w:val="009C78BD"/>
    <w:rsid w:val="009C7BA2"/>
    <w:rsid w:val="009D01D1"/>
    <w:rsid w:val="009D03A7"/>
    <w:rsid w:val="009D0536"/>
    <w:rsid w:val="009D0566"/>
    <w:rsid w:val="009D0678"/>
    <w:rsid w:val="009D0780"/>
    <w:rsid w:val="009D0B2F"/>
    <w:rsid w:val="009D0DCC"/>
    <w:rsid w:val="009D0E61"/>
    <w:rsid w:val="009D1554"/>
    <w:rsid w:val="009D1946"/>
    <w:rsid w:val="009D1E87"/>
    <w:rsid w:val="009D1EED"/>
    <w:rsid w:val="009D1EF9"/>
    <w:rsid w:val="009D2326"/>
    <w:rsid w:val="009D2641"/>
    <w:rsid w:val="009D28EA"/>
    <w:rsid w:val="009D2911"/>
    <w:rsid w:val="009D2A09"/>
    <w:rsid w:val="009D33E5"/>
    <w:rsid w:val="009D34DD"/>
    <w:rsid w:val="009D3877"/>
    <w:rsid w:val="009D388A"/>
    <w:rsid w:val="009D3B3C"/>
    <w:rsid w:val="009D3D0E"/>
    <w:rsid w:val="009D4079"/>
    <w:rsid w:val="009D4123"/>
    <w:rsid w:val="009D4F8E"/>
    <w:rsid w:val="009D5597"/>
    <w:rsid w:val="009D5729"/>
    <w:rsid w:val="009D5807"/>
    <w:rsid w:val="009D5A1B"/>
    <w:rsid w:val="009D5FBE"/>
    <w:rsid w:val="009D60C1"/>
    <w:rsid w:val="009D65ED"/>
    <w:rsid w:val="009D6F36"/>
    <w:rsid w:val="009D6F37"/>
    <w:rsid w:val="009D710D"/>
    <w:rsid w:val="009D73BA"/>
    <w:rsid w:val="009D7AC2"/>
    <w:rsid w:val="009D7F43"/>
    <w:rsid w:val="009E021E"/>
    <w:rsid w:val="009E0C16"/>
    <w:rsid w:val="009E0FFC"/>
    <w:rsid w:val="009E12A2"/>
    <w:rsid w:val="009E1536"/>
    <w:rsid w:val="009E16AA"/>
    <w:rsid w:val="009E1893"/>
    <w:rsid w:val="009E1932"/>
    <w:rsid w:val="009E19E3"/>
    <w:rsid w:val="009E1E5C"/>
    <w:rsid w:val="009E2777"/>
    <w:rsid w:val="009E2AA0"/>
    <w:rsid w:val="009E2F93"/>
    <w:rsid w:val="009E3576"/>
    <w:rsid w:val="009E3A69"/>
    <w:rsid w:val="009E3A75"/>
    <w:rsid w:val="009E3C5D"/>
    <w:rsid w:val="009E3F9F"/>
    <w:rsid w:val="009E40E6"/>
    <w:rsid w:val="009E4200"/>
    <w:rsid w:val="009E46B7"/>
    <w:rsid w:val="009E4C40"/>
    <w:rsid w:val="009E5095"/>
    <w:rsid w:val="009E512F"/>
    <w:rsid w:val="009E545E"/>
    <w:rsid w:val="009E55FC"/>
    <w:rsid w:val="009E5A32"/>
    <w:rsid w:val="009E5EFD"/>
    <w:rsid w:val="009E5FC2"/>
    <w:rsid w:val="009E6616"/>
    <w:rsid w:val="009E6651"/>
    <w:rsid w:val="009E6A2C"/>
    <w:rsid w:val="009E6D49"/>
    <w:rsid w:val="009E7100"/>
    <w:rsid w:val="009E7296"/>
    <w:rsid w:val="009E7529"/>
    <w:rsid w:val="009E7945"/>
    <w:rsid w:val="009E7EBB"/>
    <w:rsid w:val="009F0503"/>
    <w:rsid w:val="009F05B9"/>
    <w:rsid w:val="009F0770"/>
    <w:rsid w:val="009F0CAE"/>
    <w:rsid w:val="009F1719"/>
    <w:rsid w:val="009F18B3"/>
    <w:rsid w:val="009F1B02"/>
    <w:rsid w:val="009F1D5F"/>
    <w:rsid w:val="009F20AF"/>
    <w:rsid w:val="009F21E0"/>
    <w:rsid w:val="009F278D"/>
    <w:rsid w:val="009F2C17"/>
    <w:rsid w:val="009F2FA4"/>
    <w:rsid w:val="009F3006"/>
    <w:rsid w:val="009F380C"/>
    <w:rsid w:val="009F3E7A"/>
    <w:rsid w:val="009F46F4"/>
    <w:rsid w:val="009F47FC"/>
    <w:rsid w:val="009F4A00"/>
    <w:rsid w:val="009F4F2B"/>
    <w:rsid w:val="009F537D"/>
    <w:rsid w:val="009F5605"/>
    <w:rsid w:val="009F5BEE"/>
    <w:rsid w:val="009F646A"/>
    <w:rsid w:val="009F6502"/>
    <w:rsid w:val="009F6B1C"/>
    <w:rsid w:val="009F6B69"/>
    <w:rsid w:val="009F704F"/>
    <w:rsid w:val="009F70C1"/>
    <w:rsid w:val="009F7470"/>
    <w:rsid w:val="009F77D7"/>
    <w:rsid w:val="009F7896"/>
    <w:rsid w:val="009F7951"/>
    <w:rsid w:val="009F7C10"/>
    <w:rsid w:val="00A00201"/>
    <w:rsid w:val="00A00336"/>
    <w:rsid w:val="00A01648"/>
    <w:rsid w:val="00A016B6"/>
    <w:rsid w:val="00A016EB"/>
    <w:rsid w:val="00A01717"/>
    <w:rsid w:val="00A02037"/>
    <w:rsid w:val="00A02ADF"/>
    <w:rsid w:val="00A03958"/>
    <w:rsid w:val="00A03A1A"/>
    <w:rsid w:val="00A03CF6"/>
    <w:rsid w:val="00A03FB0"/>
    <w:rsid w:val="00A04353"/>
    <w:rsid w:val="00A04417"/>
    <w:rsid w:val="00A04733"/>
    <w:rsid w:val="00A04DC6"/>
    <w:rsid w:val="00A054AA"/>
    <w:rsid w:val="00A05B49"/>
    <w:rsid w:val="00A06425"/>
    <w:rsid w:val="00A06676"/>
    <w:rsid w:val="00A06923"/>
    <w:rsid w:val="00A06ABA"/>
    <w:rsid w:val="00A06C4B"/>
    <w:rsid w:val="00A07779"/>
    <w:rsid w:val="00A07853"/>
    <w:rsid w:val="00A07F8B"/>
    <w:rsid w:val="00A103DB"/>
    <w:rsid w:val="00A106B9"/>
    <w:rsid w:val="00A1076A"/>
    <w:rsid w:val="00A1085B"/>
    <w:rsid w:val="00A10A84"/>
    <w:rsid w:val="00A10C76"/>
    <w:rsid w:val="00A10D2F"/>
    <w:rsid w:val="00A11626"/>
    <w:rsid w:val="00A1168E"/>
    <w:rsid w:val="00A12203"/>
    <w:rsid w:val="00A125B4"/>
    <w:rsid w:val="00A125FB"/>
    <w:rsid w:val="00A12615"/>
    <w:rsid w:val="00A1270B"/>
    <w:rsid w:val="00A12CD1"/>
    <w:rsid w:val="00A12EF2"/>
    <w:rsid w:val="00A13352"/>
    <w:rsid w:val="00A136B6"/>
    <w:rsid w:val="00A137AC"/>
    <w:rsid w:val="00A1381C"/>
    <w:rsid w:val="00A13C96"/>
    <w:rsid w:val="00A13DA9"/>
    <w:rsid w:val="00A142BF"/>
    <w:rsid w:val="00A142FA"/>
    <w:rsid w:val="00A14B64"/>
    <w:rsid w:val="00A152ED"/>
    <w:rsid w:val="00A15404"/>
    <w:rsid w:val="00A15645"/>
    <w:rsid w:val="00A15750"/>
    <w:rsid w:val="00A16644"/>
    <w:rsid w:val="00A16743"/>
    <w:rsid w:val="00A17001"/>
    <w:rsid w:val="00A1764C"/>
    <w:rsid w:val="00A17794"/>
    <w:rsid w:val="00A17D6C"/>
    <w:rsid w:val="00A17E80"/>
    <w:rsid w:val="00A17F76"/>
    <w:rsid w:val="00A201EB"/>
    <w:rsid w:val="00A207C8"/>
    <w:rsid w:val="00A20A95"/>
    <w:rsid w:val="00A20F50"/>
    <w:rsid w:val="00A211CC"/>
    <w:rsid w:val="00A217AA"/>
    <w:rsid w:val="00A21889"/>
    <w:rsid w:val="00A21C8C"/>
    <w:rsid w:val="00A21CD2"/>
    <w:rsid w:val="00A22575"/>
    <w:rsid w:val="00A23D33"/>
    <w:rsid w:val="00A23E36"/>
    <w:rsid w:val="00A240DB"/>
    <w:rsid w:val="00A2424E"/>
    <w:rsid w:val="00A2446F"/>
    <w:rsid w:val="00A2452E"/>
    <w:rsid w:val="00A245F6"/>
    <w:rsid w:val="00A24B65"/>
    <w:rsid w:val="00A24BEF"/>
    <w:rsid w:val="00A24C41"/>
    <w:rsid w:val="00A24F78"/>
    <w:rsid w:val="00A24F84"/>
    <w:rsid w:val="00A25864"/>
    <w:rsid w:val="00A25B57"/>
    <w:rsid w:val="00A25BD0"/>
    <w:rsid w:val="00A2643C"/>
    <w:rsid w:val="00A264C7"/>
    <w:rsid w:val="00A26751"/>
    <w:rsid w:val="00A2676C"/>
    <w:rsid w:val="00A26844"/>
    <w:rsid w:val="00A270FF"/>
    <w:rsid w:val="00A277A1"/>
    <w:rsid w:val="00A279FE"/>
    <w:rsid w:val="00A27B99"/>
    <w:rsid w:val="00A27EFA"/>
    <w:rsid w:val="00A300B6"/>
    <w:rsid w:val="00A3085B"/>
    <w:rsid w:val="00A30954"/>
    <w:rsid w:val="00A30D6B"/>
    <w:rsid w:val="00A30F0E"/>
    <w:rsid w:val="00A30F0F"/>
    <w:rsid w:val="00A31032"/>
    <w:rsid w:val="00A310AC"/>
    <w:rsid w:val="00A3122F"/>
    <w:rsid w:val="00A31B9F"/>
    <w:rsid w:val="00A31DFF"/>
    <w:rsid w:val="00A31E9B"/>
    <w:rsid w:val="00A31FB0"/>
    <w:rsid w:val="00A32663"/>
    <w:rsid w:val="00A3332F"/>
    <w:rsid w:val="00A33403"/>
    <w:rsid w:val="00A335AC"/>
    <w:rsid w:val="00A3372A"/>
    <w:rsid w:val="00A33B3C"/>
    <w:rsid w:val="00A33FA1"/>
    <w:rsid w:val="00A34059"/>
    <w:rsid w:val="00A3415F"/>
    <w:rsid w:val="00A3462B"/>
    <w:rsid w:val="00A34B44"/>
    <w:rsid w:val="00A34EAC"/>
    <w:rsid w:val="00A35463"/>
    <w:rsid w:val="00A35A4A"/>
    <w:rsid w:val="00A35CFB"/>
    <w:rsid w:val="00A35F21"/>
    <w:rsid w:val="00A36031"/>
    <w:rsid w:val="00A36078"/>
    <w:rsid w:val="00A36123"/>
    <w:rsid w:val="00A36291"/>
    <w:rsid w:val="00A3637F"/>
    <w:rsid w:val="00A36560"/>
    <w:rsid w:val="00A36717"/>
    <w:rsid w:val="00A367F8"/>
    <w:rsid w:val="00A36B23"/>
    <w:rsid w:val="00A36CED"/>
    <w:rsid w:val="00A36F2A"/>
    <w:rsid w:val="00A372F8"/>
    <w:rsid w:val="00A378D2"/>
    <w:rsid w:val="00A3792C"/>
    <w:rsid w:val="00A37B77"/>
    <w:rsid w:val="00A37DE7"/>
    <w:rsid w:val="00A37EBC"/>
    <w:rsid w:val="00A40169"/>
    <w:rsid w:val="00A40616"/>
    <w:rsid w:val="00A406CB"/>
    <w:rsid w:val="00A4103B"/>
    <w:rsid w:val="00A41473"/>
    <w:rsid w:val="00A41543"/>
    <w:rsid w:val="00A416B3"/>
    <w:rsid w:val="00A41B18"/>
    <w:rsid w:val="00A42100"/>
    <w:rsid w:val="00A42395"/>
    <w:rsid w:val="00A42434"/>
    <w:rsid w:val="00A425A7"/>
    <w:rsid w:val="00A428C4"/>
    <w:rsid w:val="00A42C35"/>
    <w:rsid w:val="00A435F9"/>
    <w:rsid w:val="00A436C9"/>
    <w:rsid w:val="00A43F83"/>
    <w:rsid w:val="00A44171"/>
    <w:rsid w:val="00A4434C"/>
    <w:rsid w:val="00A443D6"/>
    <w:rsid w:val="00A44914"/>
    <w:rsid w:val="00A44C58"/>
    <w:rsid w:val="00A44C72"/>
    <w:rsid w:val="00A44D0A"/>
    <w:rsid w:val="00A44DA0"/>
    <w:rsid w:val="00A44FF6"/>
    <w:rsid w:val="00A45508"/>
    <w:rsid w:val="00A455EA"/>
    <w:rsid w:val="00A4612C"/>
    <w:rsid w:val="00A46D79"/>
    <w:rsid w:val="00A47C05"/>
    <w:rsid w:val="00A47D27"/>
    <w:rsid w:val="00A500AB"/>
    <w:rsid w:val="00A5010E"/>
    <w:rsid w:val="00A502CD"/>
    <w:rsid w:val="00A50641"/>
    <w:rsid w:val="00A50D26"/>
    <w:rsid w:val="00A51085"/>
    <w:rsid w:val="00A51AC9"/>
    <w:rsid w:val="00A51C86"/>
    <w:rsid w:val="00A51FB7"/>
    <w:rsid w:val="00A521D3"/>
    <w:rsid w:val="00A525A5"/>
    <w:rsid w:val="00A52FDF"/>
    <w:rsid w:val="00A537C2"/>
    <w:rsid w:val="00A53957"/>
    <w:rsid w:val="00A539E9"/>
    <w:rsid w:val="00A53AB5"/>
    <w:rsid w:val="00A53F49"/>
    <w:rsid w:val="00A54198"/>
    <w:rsid w:val="00A54213"/>
    <w:rsid w:val="00A54215"/>
    <w:rsid w:val="00A54710"/>
    <w:rsid w:val="00A54D52"/>
    <w:rsid w:val="00A54E5C"/>
    <w:rsid w:val="00A54ED5"/>
    <w:rsid w:val="00A54EE0"/>
    <w:rsid w:val="00A5506A"/>
    <w:rsid w:val="00A553D2"/>
    <w:rsid w:val="00A55791"/>
    <w:rsid w:val="00A557EC"/>
    <w:rsid w:val="00A5591C"/>
    <w:rsid w:val="00A55BCC"/>
    <w:rsid w:val="00A55C5F"/>
    <w:rsid w:val="00A55D98"/>
    <w:rsid w:val="00A56144"/>
    <w:rsid w:val="00A56C78"/>
    <w:rsid w:val="00A570DE"/>
    <w:rsid w:val="00A57222"/>
    <w:rsid w:val="00A57517"/>
    <w:rsid w:val="00A575A5"/>
    <w:rsid w:val="00A57AB8"/>
    <w:rsid w:val="00A57E5C"/>
    <w:rsid w:val="00A6008D"/>
    <w:rsid w:val="00A601BB"/>
    <w:rsid w:val="00A605FF"/>
    <w:rsid w:val="00A60688"/>
    <w:rsid w:val="00A60AB4"/>
    <w:rsid w:val="00A60D6C"/>
    <w:rsid w:val="00A61097"/>
    <w:rsid w:val="00A6125B"/>
    <w:rsid w:val="00A614B5"/>
    <w:rsid w:val="00A615D9"/>
    <w:rsid w:val="00A6176F"/>
    <w:rsid w:val="00A61D53"/>
    <w:rsid w:val="00A627DE"/>
    <w:rsid w:val="00A629AC"/>
    <w:rsid w:val="00A62A4F"/>
    <w:rsid w:val="00A62B1E"/>
    <w:rsid w:val="00A62C18"/>
    <w:rsid w:val="00A639E3"/>
    <w:rsid w:val="00A63EBD"/>
    <w:rsid w:val="00A63F54"/>
    <w:rsid w:val="00A64118"/>
    <w:rsid w:val="00A64B4D"/>
    <w:rsid w:val="00A64D0C"/>
    <w:rsid w:val="00A6555A"/>
    <w:rsid w:val="00A655D5"/>
    <w:rsid w:val="00A656EC"/>
    <w:rsid w:val="00A656F6"/>
    <w:rsid w:val="00A6579C"/>
    <w:rsid w:val="00A658A5"/>
    <w:rsid w:val="00A65C21"/>
    <w:rsid w:val="00A65FBC"/>
    <w:rsid w:val="00A66179"/>
    <w:rsid w:val="00A674C2"/>
    <w:rsid w:val="00A674D8"/>
    <w:rsid w:val="00A6777D"/>
    <w:rsid w:val="00A6792C"/>
    <w:rsid w:val="00A67B25"/>
    <w:rsid w:val="00A67EB0"/>
    <w:rsid w:val="00A67FFE"/>
    <w:rsid w:val="00A70641"/>
    <w:rsid w:val="00A70C20"/>
    <w:rsid w:val="00A70C91"/>
    <w:rsid w:val="00A70D80"/>
    <w:rsid w:val="00A70ECF"/>
    <w:rsid w:val="00A71048"/>
    <w:rsid w:val="00A712B1"/>
    <w:rsid w:val="00A7236C"/>
    <w:rsid w:val="00A72E76"/>
    <w:rsid w:val="00A73060"/>
    <w:rsid w:val="00A7377C"/>
    <w:rsid w:val="00A73EF0"/>
    <w:rsid w:val="00A74045"/>
    <w:rsid w:val="00A74AE4"/>
    <w:rsid w:val="00A74B12"/>
    <w:rsid w:val="00A74D21"/>
    <w:rsid w:val="00A75036"/>
    <w:rsid w:val="00A753BE"/>
    <w:rsid w:val="00A75467"/>
    <w:rsid w:val="00A7563C"/>
    <w:rsid w:val="00A75751"/>
    <w:rsid w:val="00A759E6"/>
    <w:rsid w:val="00A75ABA"/>
    <w:rsid w:val="00A75D1C"/>
    <w:rsid w:val="00A75D45"/>
    <w:rsid w:val="00A75F36"/>
    <w:rsid w:val="00A76EBF"/>
    <w:rsid w:val="00A76F82"/>
    <w:rsid w:val="00A76FCC"/>
    <w:rsid w:val="00A77473"/>
    <w:rsid w:val="00A77525"/>
    <w:rsid w:val="00A77596"/>
    <w:rsid w:val="00A77AC7"/>
    <w:rsid w:val="00A77BBB"/>
    <w:rsid w:val="00A80CBD"/>
    <w:rsid w:val="00A80DAB"/>
    <w:rsid w:val="00A80F49"/>
    <w:rsid w:val="00A81161"/>
    <w:rsid w:val="00A81206"/>
    <w:rsid w:val="00A814DD"/>
    <w:rsid w:val="00A81703"/>
    <w:rsid w:val="00A81789"/>
    <w:rsid w:val="00A81AB8"/>
    <w:rsid w:val="00A81B2B"/>
    <w:rsid w:val="00A81C05"/>
    <w:rsid w:val="00A81E3D"/>
    <w:rsid w:val="00A81F52"/>
    <w:rsid w:val="00A82194"/>
    <w:rsid w:val="00A82AC3"/>
    <w:rsid w:val="00A82D93"/>
    <w:rsid w:val="00A82E64"/>
    <w:rsid w:val="00A82F1F"/>
    <w:rsid w:val="00A8303A"/>
    <w:rsid w:val="00A8331B"/>
    <w:rsid w:val="00A83EE4"/>
    <w:rsid w:val="00A83FC2"/>
    <w:rsid w:val="00A8439C"/>
    <w:rsid w:val="00A84842"/>
    <w:rsid w:val="00A84B59"/>
    <w:rsid w:val="00A84BD8"/>
    <w:rsid w:val="00A850A6"/>
    <w:rsid w:val="00A85523"/>
    <w:rsid w:val="00A85698"/>
    <w:rsid w:val="00A85A1B"/>
    <w:rsid w:val="00A85BD2"/>
    <w:rsid w:val="00A85E3E"/>
    <w:rsid w:val="00A85EC7"/>
    <w:rsid w:val="00A85FBA"/>
    <w:rsid w:val="00A8616D"/>
    <w:rsid w:val="00A862C3"/>
    <w:rsid w:val="00A866D3"/>
    <w:rsid w:val="00A86872"/>
    <w:rsid w:val="00A86982"/>
    <w:rsid w:val="00A86A86"/>
    <w:rsid w:val="00A86E94"/>
    <w:rsid w:val="00A87116"/>
    <w:rsid w:val="00A87ACD"/>
    <w:rsid w:val="00A87C2D"/>
    <w:rsid w:val="00A9006B"/>
    <w:rsid w:val="00A9009D"/>
    <w:rsid w:val="00A900F6"/>
    <w:rsid w:val="00A902FB"/>
    <w:rsid w:val="00A9052B"/>
    <w:rsid w:val="00A909C0"/>
    <w:rsid w:val="00A90B20"/>
    <w:rsid w:val="00A90D33"/>
    <w:rsid w:val="00A911C7"/>
    <w:rsid w:val="00A91283"/>
    <w:rsid w:val="00A91553"/>
    <w:rsid w:val="00A91702"/>
    <w:rsid w:val="00A918D0"/>
    <w:rsid w:val="00A91983"/>
    <w:rsid w:val="00A92063"/>
    <w:rsid w:val="00A9214B"/>
    <w:rsid w:val="00A9230F"/>
    <w:rsid w:val="00A92743"/>
    <w:rsid w:val="00A93355"/>
    <w:rsid w:val="00A93382"/>
    <w:rsid w:val="00A937D1"/>
    <w:rsid w:val="00A93EBD"/>
    <w:rsid w:val="00A94021"/>
    <w:rsid w:val="00A944BD"/>
    <w:rsid w:val="00A9511E"/>
    <w:rsid w:val="00A9535F"/>
    <w:rsid w:val="00A95C73"/>
    <w:rsid w:val="00A960F2"/>
    <w:rsid w:val="00A965E7"/>
    <w:rsid w:val="00A96C14"/>
    <w:rsid w:val="00A96D0E"/>
    <w:rsid w:val="00A97022"/>
    <w:rsid w:val="00A9707D"/>
    <w:rsid w:val="00A971B3"/>
    <w:rsid w:val="00A97563"/>
    <w:rsid w:val="00A975A9"/>
    <w:rsid w:val="00A97B38"/>
    <w:rsid w:val="00A97D9E"/>
    <w:rsid w:val="00AA01DB"/>
    <w:rsid w:val="00AA04E7"/>
    <w:rsid w:val="00AA0E3F"/>
    <w:rsid w:val="00AA0FB1"/>
    <w:rsid w:val="00AA133A"/>
    <w:rsid w:val="00AA19BF"/>
    <w:rsid w:val="00AA1B46"/>
    <w:rsid w:val="00AA1C18"/>
    <w:rsid w:val="00AA1FB7"/>
    <w:rsid w:val="00AA20BD"/>
    <w:rsid w:val="00AA2289"/>
    <w:rsid w:val="00AA24AB"/>
    <w:rsid w:val="00AA2716"/>
    <w:rsid w:val="00AA29D1"/>
    <w:rsid w:val="00AA2C58"/>
    <w:rsid w:val="00AA2F54"/>
    <w:rsid w:val="00AA2F5A"/>
    <w:rsid w:val="00AA343C"/>
    <w:rsid w:val="00AA3747"/>
    <w:rsid w:val="00AA37AF"/>
    <w:rsid w:val="00AA37E2"/>
    <w:rsid w:val="00AA3F1D"/>
    <w:rsid w:val="00AA4743"/>
    <w:rsid w:val="00AA4F4A"/>
    <w:rsid w:val="00AA517E"/>
    <w:rsid w:val="00AA5717"/>
    <w:rsid w:val="00AA5879"/>
    <w:rsid w:val="00AA5890"/>
    <w:rsid w:val="00AA5953"/>
    <w:rsid w:val="00AA5AC4"/>
    <w:rsid w:val="00AA5BB1"/>
    <w:rsid w:val="00AA5BCD"/>
    <w:rsid w:val="00AA604F"/>
    <w:rsid w:val="00AA61FB"/>
    <w:rsid w:val="00AA66FE"/>
    <w:rsid w:val="00AA6A16"/>
    <w:rsid w:val="00AA6BF6"/>
    <w:rsid w:val="00AA6F3E"/>
    <w:rsid w:val="00AA70BC"/>
    <w:rsid w:val="00AA7125"/>
    <w:rsid w:val="00AA7C91"/>
    <w:rsid w:val="00AB08D5"/>
    <w:rsid w:val="00AB0DC6"/>
    <w:rsid w:val="00AB152D"/>
    <w:rsid w:val="00AB156F"/>
    <w:rsid w:val="00AB1643"/>
    <w:rsid w:val="00AB185A"/>
    <w:rsid w:val="00AB1950"/>
    <w:rsid w:val="00AB1B49"/>
    <w:rsid w:val="00AB1FC6"/>
    <w:rsid w:val="00AB233B"/>
    <w:rsid w:val="00AB295A"/>
    <w:rsid w:val="00AB2C68"/>
    <w:rsid w:val="00AB31E7"/>
    <w:rsid w:val="00AB3336"/>
    <w:rsid w:val="00AB3B65"/>
    <w:rsid w:val="00AB46E6"/>
    <w:rsid w:val="00AB4CEE"/>
    <w:rsid w:val="00AB500F"/>
    <w:rsid w:val="00AB51C0"/>
    <w:rsid w:val="00AB5250"/>
    <w:rsid w:val="00AB54D2"/>
    <w:rsid w:val="00AB5F44"/>
    <w:rsid w:val="00AB60CA"/>
    <w:rsid w:val="00AB6576"/>
    <w:rsid w:val="00AB699E"/>
    <w:rsid w:val="00AB6A25"/>
    <w:rsid w:val="00AB6EEF"/>
    <w:rsid w:val="00AB6F8B"/>
    <w:rsid w:val="00AB71F9"/>
    <w:rsid w:val="00AB7374"/>
    <w:rsid w:val="00AB752A"/>
    <w:rsid w:val="00AB76FB"/>
    <w:rsid w:val="00AC05DF"/>
    <w:rsid w:val="00AC071C"/>
    <w:rsid w:val="00AC09EA"/>
    <w:rsid w:val="00AC1476"/>
    <w:rsid w:val="00AC14AC"/>
    <w:rsid w:val="00AC167F"/>
    <w:rsid w:val="00AC1A46"/>
    <w:rsid w:val="00AC1B5C"/>
    <w:rsid w:val="00AC1B8F"/>
    <w:rsid w:val="00AC21B6"/>
    <w:rsid w:val="00AC22BE"/>
    <w:rsid w:val="00AC22DF"/>
    <w:rsid w:val="00AC28D2"/>
    <w:rsid w:val="00AC2BA4"/>
    <w:rsid w:val="00AC2C2F"/>
    <w:rsid w:val="00AC2F06"/>
    <w:rsid w:val="00AC390F"/>
    <w:rsid w:val="00AC3F94"/>
    <w:rsid w:val="00AC4151"/>
    <w:rsid w:val="00AC526B"/>
    <w:rsid w:val="00AC54BA"/>
    <w:rsid w:val="00AC55DF"/>
    <w:rsid w:val="00AC56A7"/>
    <w:rsid w:val="00AC5CCF"/>
    <w:rsid w:val="00AC66CE"/>
    <w:rsid w:val="00AC6798"/>
    <w:rsid w:val="00AC699F"/>
    <w:rsid w:val="00AC6A02"/>
    <w:rsid w:val="00AC6DAB"/>
    <w:rsid w:val="00AC6F88"/>
    <w:rsid w:val="00AC7831"/>
    <w:rsid w:val="00AC7BAA"/>
    <w:rsid w:val="00AC7C38"/>
    <w:rsid w:val="00AD0174"/>
    <w:rsid w:val="00AD05F4"/>
    <w:rsid w:val="00AD06FB"/>
    <w:rsid w:val="00AD090C"/>
    <w:rsid w:val="00AD0BFE"/>
    <w:rsid w:val="00AD122F"/>
    <w:rsid w:val="00AD1314"/>
    <w:rsid w:val="00AD1607"/>
    <w:rsid w:val="00AD1957"/>
    <w:rsid w:val="00AD1CB4"/>
    <w:rsid w:val="00AD1E10"/>
    <w:rsid w:val="00AD212A"/>
    <w:rsid w:val="00AD235D"/>
    <w:rsid w:val="00AD24B1"/>
    <w:rsid w:val="00AD24FD"/>
    <w:rsid w:val="00AD2578"/>
    <w:rsid w:val="00AD2816"/>
    <w:rsid w:val="00AD2B96"/>
    <w:rsid w:val="00AD2E0A"/>
    <w:rsid w:val="00AD31AD"/>
    <w:rsid w:val="00AD3349"/>
    <w:rsid w:val="00AD33BB"/>
    <w:rsid w:val="00AD3902"/>
    <w:rsid w:val="00AD3907"/>
    <w:rsid w:val="00AD3908"/>
    <w:rsid w:val="00AD3A66"/>
    <w:rsid w:val="00AD3D22"/>
    <w:rsid w:val="00AD4129"/>
    <w:rsid w:val="00AD5021"/>
    <w:rsid w:val="00AD513E"/>
    <w:rsid w:val="00AD51B7"/>
    <w:rsid w:val="00AD5620"/>
    <w:rsid w:val="00AD577E"/>
    <w:rsid w:val="00AD5840"/>
    <w:rsid w:val="00AD5AD8"/>
    <w:rsid w:val="00AD5AE7"/>
    <w:rsid w:val="00AD69ED"/>
    <w:rsid w:val="00AD6C7E"/>
    <w:rsid w:val="00AD6D07"/>
    <w:rsid w:val="00AD6DCE"/>
    <w:rsid w:val="00AD72EA"/>
    <w:rsid w:val="00AD74E3"/>
    <w:rsid w:val="00AD7619"/>
    <w:rsid w:val="00AD791A"/>
    <w:rsid w:val="00AE01E0"/>
    <w:rsid w:val="00AE04C8"/>
    <w:rsid w:val="00AE052F"/>
    <w:rsid w:val="00AE066C"/>
    <w:rsid w:val="00AE0CE3"/>
    <w:rsid w:val="00AE0FD5"/>
    <w:rsid w:val="00AE1239"/>
    <w:rsid w:val="00AE1769"/>
    <w:rsid w:val="00AE18D6"/>
    <w:rsid w:val="00AE20EB"/>
    <w:rsid w:val="00AE28E1"/>
    <w:rsid w:val="00AE2A35"/>
    <w:rsid w:val="00AE2C97"/>
    <w:rsid w:val="00AE2D80"/>
    <w:rsid w:val="00AE2F5A"/>
    <w:rsid w:val="00AE3813"/>
    <w:rsid w:val="00AE3A2F"/>
    <w:rsid w:val="00AE3C08"/>
    <w:rsid w:val="00AE3E6A"/>
    <w:rsid w:val="00AE442A"/>
    <w:rsid w:val="00AE481B"/>
    <w:rsid w:val="00AE492F"/>
    <w:rsid w:val="00AE4AB7"/>
    <w:rsid w:val="00AE4C37"/>
    <w:rsid w:val="00AE4D8A"/>
    <w:rsid w:val="00AE4EAA"/>
    <w:rsid w:val="00AE4F80"/>
    <w:rsid w:val="00AE500F"/>
    <w:rsid w:val="00AE511F"/>
    <w:rsid w:val="00AE55B4"/>
    <w:rsid w:val="00AE5765"/>
    <w:rsid w:val="00AE586B"/>
    <w:rsid w:val="00AE5ACC"/>
    <w:rsid w:val="00AE61DF"/>
    <w:rsid w:val="00AE6364"/>
    <w:rsid w:val="00AE649B"/>
    <w:rsid w:val="00AE6548"/>
    <w:rsid w:val="00AE6CF8"/>
    <w:rsid w:val="00AE7002"/>
    <w:rsid w:val="00AE737F"/>
    <w:rsid w:val="00AF00C5"/>
    <w:rsid w:val="00AF04E4"/>
    <w:rsid w:val="00AF0C22"/>
    <w:rsid w:val="00AF108F"/>
    <w:rsid w:val="00AF179D"/>
    <w:rsid w:val="00AF17E9"/>
    <w:rsid w:val="00AF1BCC"/>
    <w:rsid w:val="00AF1F42"/>
    <w:rsid w:val="00AF22F0"/>
    <w:rsid w:val="00AF23B4"/>
    <w:rsid w:val="00AF2925"/>
    <w:rsid w:val="00AF2984"/>
    <w:rsid w:val="00AF2BB3"/>
    <w:rsid w:val="00AF31EE"/>
    <w:rsid w:val="00AF345F"/>
    <w:rsid w:val="00AF38D8"/>
    <w:rsid w:val="00AF42D8"/>
    <w:rsid w:val="00AF43F1"/>
    <w:rsid w:val="00AF4418"/>
    <w:rsid w:val="00AF4544"/>
    <w:rsid w:val="00AF4B7B"/>
    <w:rsid w:val="00AF4E31"/>
    <w:rsid w:val="00AF5458"/>
    <w:rsid w:val="00AF551E"/>
    <w:rsid w:val="00AF57AF"/>
    <w:rsid w:val="00AF5C6A"/>
    <w:rsid w:val="00AF5DF0"/>
    <w:rsid w:val="00AF5FD7"/>
    <w:rsid w:val="00AF6628"/>
    <w:rsid w:val="00AF662A"/>
    <w:rsid w:val="00AF68FE"/>
    <w:rsid w:val="00AF6AE8"/>
    <w:rsid w:val="00AF6E5B"/>
    <w:rsid w:val="00AF6F5A"/>
    <w:rsid w:val="00AF7264"/>
    <w:rsid w:val="00AF727B"/>
    <w:rsid w:val="00AF72BE"/>
    <w:rsid w:val="00AF7820"/>
    <w:rsid w:val="00AF7863"/>
    <w:rsid w:val="00AF794C"/>
    <w:rsid w:val="00AF7AA0"/>
    <w:rsid w:val="00AF7D73"/>
    <w:rsid w:val="00AF7EA0"/>
    <w:rsid w:val="00AF7F4D"/>
    <w:rsid w:val="00B0009F"/>
    <w:rsid w:val="00B00620"/>
    <w:rsid w:val="00B00676"/>
    <w:rsid w:val="00B00C7F"/>
    <w:rsid w:val="00B00CCB"/>
    <w:rsid w:val="00B00F3B"/>
    <w:rsid w:val="00B01162"/>
    <w:rsid w:val="00B0150D"/>
    <w:rsid w:val="00B01782"/>
    <w:rsid w:val="00B0178D"/>
    <w:rsid w:val="00B0182D"/>
    <w:rsid w:val="00B02068"/>
    <w:rsid w:val="00B02ABF"/>
    <w:rsid w:val="00B035D5"/>
    <w:rsid w:val="00B03950"/>
    <w:rsid w:val="00B0396F"/>
    <w:rsid w:val="00B0448D"/>
    <w:rsid w:val="00B045A7"/>
    <w:rsid w:val="00B045BB"/>
    <w:rsid w:val="00B048A2"/>
    <w:rsid w:val="00B04929"/>
    <w:rsid w:val="00B049C6"/>
    <w:rsid w:val="00B04B4A"/>
    <w:rsid w:val="00B054BF"/>
    <w:rsid w:val="00B0558B"/>
    <w:rsid w:val="00B05A31"/>
    <w:rsid w:val="00B05E2C"/>
    <w:rsid w:val="00B05EEA"/>
    <w:rsid w:val="00B060BB"/>
    <w:rsid w:val="00B060F1"/>
    <w:rsid w:val="00B0636B"/>
    <w:rsid w:val="00B0639F"/>
    <w:rsid w:val="00B06EC7"/>
    <w:rsid w:val="00B06FAB"/>
    <w:rsid w:val="00B06FE4"/>
    <w:rsid w:val="00B0732E"/>
    <w:rsid w:val="00B07618"/>
    <w:rsid w:val="00B07824"/>
    <w:rsid w:val="00B07845"/>
    <w:rsid w:val="00B10095"/>
    <w:rsid w:val="00B10103"/>
    <w:rsid w:val="00B10261"/>
    <w:rsid w:val="00B1084B"/>
    <w:rsid w:val="00B1153A"/>
    <w:rsid w:val="00B118D9"/>
    <w:rsid w:val="00B12152"/>
    <w:rsid w:val="00B121B8"/>
    <w:rsid w:val="00B121EF"/>
    <w:rsid w:val="00B12ADF"/>
    <w:rsid w:val="00B12AE8"/>
    <w:rsid w:val="00B12D81"/>
    <w:rsid w:val="00B12EC8"/>
    <w:rsid w:val="00B13319"/>
    <w:rsid w:val="00B13D4A"/>
    <w:rsid w:val="00B13DF2"/>
    <w:rsid w:val="00B13F79"/>
    <w:rsid w:val="00B148A1"/>
    <w:rsid w:val="00B15126"/>
    <w:rsid w:val="00B15287"/>
    <w:rsid w:val="00B15354"/>
    <w:rsid w:val="00B15612"/>
    <w:rsid w:val="00B15A55"/>
    <w:rsid w:val="00B15A58"/>
    <w:rsid w:val="00B15C54"/>
    <w:rsid w:val="00B16499"/>
    <w:rsid w:val="00B16946"/>
    <w:rsid w:val="00B177DC"/>
    <w:rsid w:val="00B17AFD"/>
    <w:rsid w:val="00B2015F"/>
    <w:rsid w:val="00B20293"/>
    <w:rsid w:val="00B202DD"/>
    <w:rsid w:val="00B20650"/>
    <w:rsid w:val="00B2093B"/>
    <w:rsid w:val="00B215B7"/>
    <w:rsid w:val="00B218AA"/>
    <w:rsid w:val="00B21C93"/>
    <w:rsid w:val="00B21D59"/>
    <w:rsid w:val="00B21D5E"/>
    <w:rsid w:val="00B21F3D"/>
    <w:rsid w:val="00B22534"/>
    <w:rsid w:val="00B2255A"/>
    <w:rsid w:val="00B225F9"/>
    <w:rsid w:val="00B226A2"/>
    <w:rsid w:val="00B22816"/>
    <w:rsid w:val="00B22A1E"/>
    <w:rsid w:val="00B22AA6"/>
    <w:rsid w:val="00B239F8"/>
    <w:rsid w:val="00B23CC1"/>
    <w:rsid w:val="00B23CC4"/>
    <w:rsid w:val="00B23D63"/>
    <w:rsid w:val="00B2421F"/>
    <w:rsid w:val="00B2425A"/>
    <w:rsid w:val="00B24479"/>
    <w:rsid w:val="00B24669"/>
    <w:rsid w:val="00B24BC4"/>
    <w:rsid w:val="00B25891"/>
    <w:rsid w:val="00B25911"/>
    <w:rsid w:val="00B26264"/>
    <w:rsid w:val="00B262E6"/>
    <w:rsid w:val="00B263BA"/>
    <w:rsid w:val="00B2681B"/>
    <w:rsid w:val="00B26EEA"/>
    <w:rsid w:val="00B26FA3"/>
    <w:rsid w:val="00B272F5"/>
    <w:rsid w:val="00B2738C"/>
    <w:rsid w:val="00B274BA"/>
    <w:rsid w:val="00B27959"/>
    <w:rsid w:val="00B2799F"/>
    <w:rsid w:val="00B27E6C"/>
    <w:rsid w:val="00B30615"/>
    <w:rsid w:val="00B3068A"/>
    <w:rsid w:val="00B309BF"/>
    <w:rsid w:val="00B30D9D"/>
    <w:rsid w:val="00B30F0E"/>
    <w:rsid w:val="00B312F9"/>
    <w:rsid w:val="00B31952"/>
    <w:rsid w:val="00B325F9"/>
    <w:rsid w:val="00B326CA"/>
    <w:rsid w:val="00B32874"/>
    <w:rsid w:val="00B32E23"/>
    <w:rsid w:val="00B330CA"/>
    <w:rsid w:val="00B33525"/>
    <w:rsid w:val="00B33C55"/>
    <w:rsid w:val="00B3438A"/>
    <w:rsid w:val="00B345EC"/>
    <w:rsid w:val="00B348FF"/>
    <w:rsid w:val="00B34BA0"/>
    <w:rsid w:val="00B34C89"/>
    <w:rsid w:val="00B34DFD"/>
    <w:rsid w:val="00B34EA9"/>
    <w:rsid w:val="00B34F41"/>
    <w:rsid w:val="00B34FE0"/>
    <w:rsid w:val="00B35A4D"/>
    <w:rsid w:val="00B360DF"/>
    <w:rsid w:val="00B36760"/>
    <w:rsid w:val="00B369BE"/>
    <w:rsid w:val="00B36F2A"/>
    <w:rsid w:val="00B372CC"/>
    <w:rsid w:val="00B3767E"/>
    <w:rsid w:val="00B376B9"/>
    <w:rsid w:val="00B37A13"/>
    <w:rsid w:val="00B40028"/>
    <w:rsid w:val="00B407AE"/>
    <w:rsid w:val="00B40EE2"/>
    <w:rsid w:val="00B41302"/>
    <w:rsid w:val="00B41939"/>
    <w:rsid w:val="00B41AB7"/>
    <w:rsid w:val="00B41E03"/>
    <w:rsid w:val="00B41F4D"/>
    <w:rsid w:val="00B4235F"/>
    <w:rsid w:val="00B42A2C"/>
    <w:rsid w:val="00B42A4A"/>
    <w:rsid w:val="00B43A8D"/>
    <w:rsid w:val="00B4410E"/>
    <w:rsid w:val="00B44FF1"/>
    <w:rsid w:val="00B451A6"/>
    <w:rsid w:val="00B455E5"/>
    <w:rsid w:val="00B45B05"/>
    <w:rsid w:val="00B46184"/>
    <w:rsid w:val="00B46343"/>
    <w:rsid w:val="00B463BD"/>
    <w:rsid w:val="00B463EB"/>
    <w:rsid w:val="00B466A9"/>
    <w:rsid w:val="00B468F6"/>
    <w:rsid w:val="00B46A06"/>
    <w:rsid w:val="00B46A56"/>
    <w:rsid w:val="00B46FE6"/>
    <w:rsid w:val="00B4703F"/>
    <w:rsid w:val="00B47656"/>
    <w:rsid w:val="00B47E17"/>
    <w:rsid w:val="00B50E39"/>
    <w:rsid w:val="00B50F25"/>
    <w:rsid w:val="00B51967"/>
    <w:rsid w:val="00B51A80"/>
    <w:rsid w:val="00B51BD5"/>
    <w:rsid w:val="00B52BE3"/>
    <w:rsid w:val="00B52F27"/>
    <w:rsid w:val="00B531E0"/>
    <w:rsid w:val="00B532E3"/>
    <w:rsid w:val="00B53660"/>
    <w:rsid w:val="00B53F39"/>
    <w:rsid w:val="00B54323"/>
    <w:rsid w:val="00B5456A"/>
    <w:rsid w:val="00B5460F"/>
    <w:rsid w:val="00B54E44"/>
    <w:rsid w:val="00B552B2"/>
    <w:rsid w:val="00B5572B"/>
    <w:rsid w:val="00B5591F"/>
    <w:rsid w:val="00B55F5F"/>
    <w:rsid w:val="00B560E1"/>
    <w:rsid w:val="00B56308"/>
    <w:rsid w:val="00B5672D"/>
    <w:rsid w:val="00B56AEF"/>
    <w:rsid w:val="00B57142"/>
    <w:rsid w:val="00B57A69"/>
    <w:rsid w:val="00B57DDE"/>
    <w:rsid w:val="00B60063"/>
    <w:rsid w:val="00B600BD"/>
    <w:rsid w:val="00B60DEE"/>
    <w:rsid w:val="00B610AC"/>
    <w:rsid w:val="00B612F1"/>
    <w:rsid w:val="00B61CB1"/>
    <w:rsid w:val="00B62B63"/>
    <w:rsid w:val="00B633C0"/>
    <w:rsid w:val="00B633E9"/>
    <w:rsid w:val="00B635DE"/>
    <w:rsid w:val="00B63F56"/>
    <w:rsid w:val="00B641D3"/>
    <w:rsid w:val="00B649AE"/>
    <w:rsid w:val="00B64B67"/>
    <w:rsid w:val="00B64E9C"/>
    <w:rsid w:val="00B6537F"/>
    <w:rsid w:val="00B656B9"/>
    <w:rsid w:val="00B65870"/>
    <w:rsid w:val="00B65885"/>
    <w:rsid w:val="00B660FE"/>
    <w:rsid w:val="00B661E4"/>
    <w:rsid w:val="00B6629D"/>
    <w:rsid w:val="00B66437"/>
    <w:rsid w:val="00B66C31"/>
    <w:rsid w:val="00B66CC6"/>
    <w:rsid w:val="00B670ED"/>
    <w:rsid w:val="00B672B5"/>
    <w:rsid w:val="00B675AD"/>
    <w:rsid w:val="00B675D3"/>
    <w:rsid w:val="00B67DA1"/>
    <w:rsid w:val="00B70825"/>
    <w:rsid w:val="00B709A9"/>
    <w:rsid w:val="00B70D25"/>
    <w:rsid w:val="00B70D40"/>
    <w:rsid w:val="00B70E1B"/>
    <w:rsid w:val="00B71165"/>
    <w:rsid w:val="00B712CF"/>
    <w:rsid w:val="00B7163E"/>
    <w:rsid w:val="00B7174D"/>
    <w:rsid w:val="00B71869"/>
    <w:rsid w:val="00B71D69"/>
    <w:rsid w:val="00B71F59"/>
    <w:rsid w:val="00B72658"/>
    <w:rsid w:val="00B728E5"/>
    <w:rsid w:val="00B7348D"/>
    <w:rsid w:val="00B734E9"/>
    <w:rsid w:val="00B736BE"/>
    <w:rsid w:val="00B738AD"/>
    <w:rsid w:val="00B73B6F"/>
    <w:rsid w:val="00B73C2C"/>
    <w:rsid w:val="00B73D1F"/>
    <w:rsid w:val="00B74179"/>
    <w:rsid w:val="00B746F9"/>
    <w:rsid w:val="00B74757"/>
    <w:rsid w:val="00B74812"/>
    <w:rsid w:val="00B74963"/>
    <w:rsid w:val="00B74C2E"/>
    <w:rsid w:val="00B74D3D"/>
    <w:rsid w:val="00B758FF"/>
    <w:rsid w:val="00B75A56"/>
    <w:rsid w:val="00B75BAF"/>
    <w:rsid w:val="00B76264"/>
    <w:rsid w:val="00B768E1"/>
    <w:rsid w:val="00B769A3"/>
    <w:rsid w:val="00B76C2B"/>
    <w:rsid w:val="00B76E09"/>
    <w:rsid w:val="00B77345"/>
    <w:rsid w:val="00B774FE"/>
    <w:rsid w:val="00B7766E"/>
    <w:rsid w:val="00B779B5"/>
    <w:rsid w:val="00B77B59"/>
    <w:rsid w:val="00B77CE3"/>
    <w:rsid w:val="00B80155"/>
    <w:rsid w:val="00B801AA"/>
    <w:rsid w:val="00B80617"/>
    <w:rsid w:val="00B80634"/>
    <w:rsid w:val="00B80757"/>
    <w:rsid w:val="00B80F86"/>
    <w:rsid w:val="00B8102C"/>
    <w:rsid w:val="00B8118A"/>
    <w:rsid w:val="00B81637"/>
    <w:rsid w:val="00B81792"/>
    <w:rsid w:val="00B81B88"/>
    <w:rsid w:val="00B81D3C"/>
    <w:rsid w:val="00B81F4D"/>
    <w:rsid w:val="00B82388"/>
    <w:rsid w:val="00B82B22"/>
    <w:rsid w:val="00B82B72"/>
    <w:rsid w:val="00B82E69"/>
    <w:rsid w:val="00B831E7"/>
    <w:rsid w:val="00B837C4"/>
    <w:rsid w:val="00B8386B"/>
    <w:rsid w:val="00B83A1C"/>
    <w:rsid w:val="00B83ABA"/>
    <w:rsid w:val="00B83E69"/>
    <w:rsid w:val="00B84234"/>
    <w:rsid w:val="00B8446D"/>
    <w:rsid w:val="00B844D9"/>
    <w:rsid w:val="00B845AF"/>
    <w:rsid w:val="00B84796"/>
    <w:rsid w:val="00B852FF"/>
    <w:rsid w:val="00B85CB9"/>
    <w:rsid w:val="00B863A5"/>
    <w:rsid w:val="00B8699A"/>
    <w:rsid w:val="00B87507"/>
    <w:rsid w:val="00B87AB1"/>
    <w:rsid w:val="00B87AF0"/>
    <w:rsid w:val="00B87B84"/>
    <w:rsid w:val="00B87EB4"/>
    <w:rsid w:val="00B90796"/>
    <w:rsid w:val="00B90B3C"/>
    <w:rsid w:val="00B91148"/>
    <w:rsid w:val="00B912D3"/>
    <w:rsid w:val="00B916B1"/>
    <w:rsid w:val="00B91980"/>
    <w:rsid w:val="00B923A5"/>
    <w:rsid w:val="00B9280C"/>
    <w:rsid w:val="00B928E9"/>
    <w:rsid w:val="00B9318A"/>
    <w:rsid w:val="00B946C5"/>
    <w:rsid w:val="00B94766"/>
    <w:rsid w:val="00B94920"/>
    <w:rsid w:val="00B94BAA"/>
    <w:rsid w:val="00B94E93"/>
    <w:rsid w:val="00B9509B"/>
    <w:rsid w:val="00B952CC"/>
    <w:rsid w:val="00B9575B"/>
    <w:rsid w:val="00B95A64"/>
    <w:rsid w:val="00B9616C"/>
    <w:rsid w:val="00B96F43"/>
    <w:rsid w:val="00B96F78"/>
    <w:rsid w:val="00B97765"/>
    <w:rsid w:val="00B978F3"/>
    <w:rsid w:val="00B97B64"/>
    <w:rsid w:val="00BA04DF"/>
    <w:rsid w:val="00BA05C2"/>
    <w:rsid w:val="00BA0617"/>
    <w:rsid w:val="00BA06A0"/>
    <w:rsid w:val="00BA0978"/>
    <w:rsid w:val="00BA0A74"/>
    <w:rsid w:val="00BA0CF4"/>
    <w:rsid w:val="00BA0CFF"/>
    <w:rsid w:val="00BA0D88"/>
    <w:rsid w:val="00BA0FAC"/>
    <w:rsid w:val="00BA0FFF"/>
    <w:rsid w:val="00BA1167"/>
    <w:rsid w:val="00BA125F"/>
    <w:rsid w:val="00BA14D3"/>
    <w:rsid w:val="00BA2144"/>
    <w:rsid w:val="00BA2270"/>
    <w:rsid w:val="00BA273E"/>
    <w:rsid w:val="00BA2927"/>
    <w:rsid w:val="00BA2AF9"/>
    <w:rsid w:val="00BA2AFA"/>
    <w:rsid w:val="00BA2B46"/>
    <w:rsid w:val="00BA2EE6"/>
    <w:rsid w:val="00BA2F14"/>
    <w:rsid w:val="00BA2F1F"/>
    <w:rsid w:val="00BA316D"/>
    <w:rsid w:val="00BA318D"/>
    <w:rsid w:val="00BA362B"/>
    <w:rsid w:val="00BA3898"/>
    <w:rsid w:val="00BA38D9"/>
    <w:rsid w:val="00BA3B20"/>
    <w:rsid w:val="00BA3D4A"/>
    <w:rsid w:val="00BA3DDA"/>
    <w:rsid w:val="00BA3E8F"/>
    <w:rsid w:val="00BA4396"/>
    <w:rsid w:val="00BA43BE"/>
    <w:rsid w:val="00BA4FFF"/>
    <w:rsid w:val="00BA51F5"/>
    <w:rsid w:val="00BA5219"/>
    <w:rsid w:val="00BA66FE"/>
    <w:rsid w:val="00BA691B"/>
    <w:rsid w:val="00BA6B60"/>
    <w:rsid w:val="00BA6DB7"/>
    <w:rsid w:val="00BA6ED7"/>
    <w:rsid w:val="00BA6F10"/>
    <w:rsid w:val="00BA6F20"/>
    <w:rsid w:val="00BA7066"/>
    <w:rsid w:val="00BA74F9"/>
    <w:rsid w:val="00BA7A31"/>
    <w:rsid w:val="00BA7A3F"/>
    <w:rsid w:val="00BA7B39"/>
    <w:rsid w:val="00BA7D04"/>
    <w:rsid w:val="00BA7EB4"/>
    <w:rsid w:val="00BB0041"/>
    <w:rsid w:val="00BB02D6"/>
    <w:rsid w:val="00BB03E4"/>
    <w:rsid w:val="00BB0AE4"/>
    <w:rsid w:val="00BB0D22"/>
    <w:rsid w:val="00BB0D41"/>
    <w:rsid w:val="00BB10C0"/>
    <w:rsid w:val="00BB10CC"/>
    <w:rsid w:val="00BB17AE"/>
    <w:rsid w:val="00BB2355"/>
    <w:rsid w:val="00BB25C1"/>
    <w:rsid w:val="00BB2865"/>
    <w:rsid w:val="00BB297A"/>
    <w:rsid w:val="00BB346B"/>
    <w:rsid w:val="00BB3C92"/>
    <w:rsid w:val="00BB3CAB"/>
    <w:rsid w:val="00BB43E0"/>
    <w:rsid w:val="00BB4656"/>
    <w:rsid w:val="00BB5300"/>
    <w:rsid w:val="00BB5789"/>
    <w:rsid w:val="00BB58BE"/>
    <w:rsid w:val="00BB5DEE"/>
    <w:rsid w:val="00BB5E6F"/>
    <w:rsid w:val="00BB6260"/>
    <w:rsid w:val="00BB62A8"/>
    <w:rsid w:val="00BB62DD"/>
    <w:rsid w:val="00BB6704"/>
    <w:rsid w:val="00BB687D"/>
    <w:rsid w:val="00BB68E7"/>
    <w:rsid w:val="00BB6ACA"/>
    <w:rsid w:val="00BB6DC2"/>
    <w:rsid w:val="00BB728B"/>
    <w:rsid w:val="00BB72B1"/>
    <w:rsid w:val="00BB7316"/>
    <w:rsid w:val="00BB7A1C"/>
    <w:rsid w:val="00BB7C2D"/>
    <w:rsid w:val="00BC015E"/>
    <w:rsid w:val="00BC036C"/>
    <w:rsid w:val="00BC0659"/>
    <w:rsid w:val="00BC0B5A"/>
    <w:rsid w:val="00BC0B98"/>
    <w:rsid w:val="00BC0EE9"/>
    <w:rsid w:val="00BC1013"/>
    <w:rsid w:val="00BC13F1"/>
    <w:rsid w:val="00BC19FF"/>
    <w:rsid w:val="00BC1FE0"/>
    <w:rsid w:val="00BC209A"/>
    <w:rsid w:val="00BC21A8"/>
    <w:rsid w:val="00BC21F4"/>
    <w:rsid w:val="00BC2527"/>
    <w:rsid w:val="00BC25B4"/>
    <w:rsid w:val="00BC2755"/>
    <w:rsid w:val="00BC28B0"/>
    <w:rsid w:val="00BC2980"/>
    <w:rsid w:val="00BC2C68"/>
    <w:rsid w:val="00BC2FCC"/>
    <w:rsid w:val="00BC31A8"/>
    <w:rsid w:val="00BC32BC"/>
    <w:rsid w:val="00BC3727"/>
    <w:rsid w:val="00BC3B03"/>
    <w:rsid w:val="00BC3C34"/>
    <w:rsid w:val="00BC42A8"/>
    <w:rsid w:val="00BC446A"/>
    <w:rsid w:val="00BC44CD"/>
    <w:rsid w:val="00BC4CF0"/>
    <w:rsid w:val="00BC4D47"/>
    <w:rsid w:val="00BC532E"/>
    <w:rsid w:val="00BC565B"/>
    <w:rsid w:val="00BC5C7F"/>
    <w:rsid w:val="00BC5CF4"/>
    <w:rsid w:val="00BC6418"/>
    <w:rsid w:val="00BC6746"/>
    <w:rsid w:val="00BC6959"/>
    <w:rsid w:val="00BC6AB3"/>
    <w:rsid w:val="00BC6B2E"/>
    <w:rsid w:val="00BC70C1"/>
    <w:rsid w:val="00BC7DF3"/>
    <w:rsid w:val="00BC7FBC"/>
    <w:rsid w:val="00BD00B6"/>
    <w:rsid w:val="00BD072A"/>
    <w:rsid w:val="00BD0A1B"/>
    <w:rsid w:val="00BD1246"/>
    <w:rsid w:val="00BD13F7"/>
    <w:rsid w:val="00BD1484"/>
    <w:rsid w:val="00BD168C"/>
    <w:rsid w:val="00BD180A"/>
    <w:rsid w:val="00BD195B"/>
    <w:rsid w:val="00BD1A17"/>
    <w:rsid w:val="00BD1B02"/>
    <w:rsid w:val="00BD1CFD"/>
    <w:rsid w:val="00BD23CB"/>
    <w:rsid w:val="00BD305F"/>
    <w:rsid w:val="00BD3199"/>
    <w:rsid w:val="00BD3279"/>
    <w:rsid w:val="00BD3BDB"/>
    <w:rsid w:val="00BD3D02"/>
    <w:rsid w:val="00BD4126"/>
    <w:rsid w:val="00BD4400"/>
    <w:rsid w:val="00BD4A4F"/>
    <w:rsid w:val="00BD4FE7"/>
    <w:rsid w:val="00BD50C1"/>
    <w:rsid w:val="00BD5535"/>
    <w:rsid w:val="00BD5B13"/>
    <w:rsid w:val="00BD5B1A"/>
    <w:rsid w:val="00BD5C9F"/>
    <w:rsid w:val="00BD5E8C"/>
    <w:rsid w:val="00BD6A4B"/>
    <w:rsid w:val="00BD6B44"/>
    <w:rsid w:val="00BD7047"/>
    <w:rsid w:val="00BD7108"/>
    <w:rsid w:val="00BD76EE"/>
    <w:rsid w:val="00BE08E5"/>
    <w:rsid w:val="00BE0ABE"/>
    <w:rsid w:val="00BE0F1A"/>
    <w:rsid w:val="00BE164F"/>
    <w:rsid w:val="00BE178D"/>
    <w:rsid w:val="00BE1A8D"/>
    <w:rsid w:val="00BE1A90"/>
    <w:rsid w:val="00BE1BD8"/>
    <w:rsid w:val="00BE1D6D"/>
    <w:rsid w:val="00BE1F48"/>
    <w:rsid w:val="00BE2322"/>
    <w:rsid w:val="00BE23BD"/>
    <w:rsid w:val="00BE2A60"/>
    <w:rsid w:val="00BE2E29"/>
    <w:rsid w:val="00BE3201"/>
    <w:rsid w:val="00BE3807"/>
    <w:rsid w:val="00BE3B0B"/>
    <w:rsid w:val="00BE3C4A"/>
    <w:rsid w:val="00BE3EBB"/>
    <w:rsid w:val="00BE3EBE"/>
    <w:rsid w:val="00BE3F57"/>
    <w:rsid w:val="00BE423E"/>
    <w:rsid w:val="00BE4582"/>
    <w:rsid w:val="00BE4591"/>
    <w:rsid w:val="00BE4959"/>
    <w:rsid w:val="00BE4E2C"/>
    <w:rsid w:val="00BE4EC0"/>
    <w:rsid w:val="00BE57D0"/>
    <w:rsid w:val="00BE593D"/>
    <w:rsid w:val="00BE5D8C"/>
    <w:rsid w:val="00BE5D9B"/>
    <w:rsid w:val="00BE5E2C"/>
    <w:rsid w:val="00BE66EE"/>
    <w:rsid w:val="00BE680A"/>
    <w:rsid w:val="00BE683E"/>
    <w:rsid w:val="00BE6AC6"/>
    <w:rsid w:val="00BE6B3B"/>
    <w:rsid w:val="00BE6BF1"/>
    <w:rsid w:val="00BE6C0F"/>
    <w:rsid w:val="00BE7147"/>
    <w:rsid w:val="00BE7197"/>
    <w:rsid w:val="00BE7D4B"/>
    <w:rsid w:val="00BF026F"/>
    <w:rsid w:val="00BF056E"/>
    <w:rsid w:val="00BF05F3"/>
    <w:rsid w:val="00BF09CF"/>
    <w:rsid w:val="00BF0C90"/>
    <w:rsid w:val="00BF116F"/>
    <w:rsid w:val="00BF126A"/>
    <w:rsid w:val="00BF152C"/>
    <w:rsid w:val="00BF1D63"/>
    <w:rsid w:val="00BF1D7E"/>
    <w:rsid w:val="00BF2148"/>
    <w:rsid w:val="00BF235A"/>
    <w:rsid w:val="00BF2468"/>
    <w:rsid w:val="00BF2600"/>
    <w:rsid w:val="00BF2A1A"/>
    <w:rsid w:val="00BF2C09"/>
    <w:rsid w:val="00BF2C1A"/>
    <w:rsid w:val="00BF3552"/>
    <w:rsid w:val="00BF3659"/>
    <w:rsid w:val="00BF38C9"/>
    <w:rsid w:val="00BF397A"/>
    <w:rsid w:val="00BF3AFA"/>
    <w:rsid w:val="00BF3BC7"/>
    <w:rsid w:val="00BF4567"/>
    <w:rsid w:val="00BF4790"/>
    <w:rsid w:val="00BF4916"/>
    <w:rsid w:val="00BF4A03"/>
    <w:rsid w:val="00BF4AFF"/>
    <w:rsid w:val="00BF50DB"/>
    <w:rsid w:val="00BF50FE"/>
    <w:rsid w:val="00BF527C"/>
    <w:rsid w:val="00BF5583"/>
    <w:rsid w:val="00BF58B9"/>
    <w:rsid w:val="00BF597C"/>
    <w:rsid w:val="00BF5FDF"/>
    <w:rsid w:val="00BF66DA"/>
    <w:rsid w:val="00BF66EB"/>
    <w:rsid w:val="00BF6752"/>
    <w:rsid w:val="00BF680C"/>
    <w:rsid w:val="00BF69F7"/>
    <w:rsid w:val="00BF6D74"/>
    <w:rsid w:val="00BF6DE8"/>
    <w:rsid w:val="00BF6E36"/>
    <w:rsid w:val="00BF6FCA"/>
    <w:rsid w:val="00BF7391"/>
    <w:rsid w:val="00BF7469"/>
    <w:rsid w:val="00BF776D"/>
    <w:rsid w:val="00BF7C00"/>
    <w:rsid w:val="00BF7C49"/>
    <w:rsid w:val="00C008CA"/>
    <w:rsid w:val="00C00BB0"/>
    <w:rsid w:val="00C00E8A"/>
    <w:rsid w:val="00C00FD0"/>
    <w:rsid w:val="00C0111C"/>
    <w:rsid w:val="00C01183"/>
    <w:rsid w:val="00C01186"/>
    <w:rsid w:val="00C01510"/>
    <w:rsid w:val="00C01630"/>
    <w:rsid w:val="00C0177C"/>
    <w:rsid w:val="00C01AAA"/>
    <w:rsid w:val="00C01AF2"/>
    <w:rsid w:val="00C01BA7"/>
    <w:rsid w:val="00C01D5A"/>
    <w:rsid w:val="00C01E9B"/>
    <w:rsid w:val="00C01F27"/>
    <w:rsid w:val="00C022AF"/>
    <w:rsid w:val="00C0240B"/>
    <w:rsid w:val="00C025A0"/>
    <w:rsid w:val="00C0282D"/>
    <w:rsid w:val="00C02915"/>
    <w:rsid w:val="00C03479"/>
    <w:rsid w:val="00C03C0C"/>
    <w:rsid w:val="00C03C87"/>
    <w:rsid w:val="00C03CBA"/>
    <w:rsid w:val="00C03DA4"/>
    <w:rsid w:val="00C03F37"/>
    <w:rsid w:val="00C0434F"/>
    <w:rsid w:val="00C0489B"/>
    <w:rsid w:val="00C04A48"/>
    <w:rsid w:val="00C050F8"/>
    <w:rsid w:val="00C053F8"/>
    <w:rsid w:val="00C05718"/>
    <w:rsid w:val="00C0581D"/>
    <w:rsid w:val="00C058A6"/>
    <w:rsid w:val="00C059D5"/>
    <w:rsid w:val="00C05DBF"/>
    <w:rsid w:val="00C069F8"/>
    <w:rsid w:val="00C0701D"/>
    <w:rsid w:val="00C07131"/>
    <w:rsid w:val="00C0717B"/>
    <w:rsid w:val="00C0743B"/>
    <w:rsid w:val="00C075C7"/>
    <w:rsid w:val="00C07E86"/>
    <w:rsid w:val="00C10617"/>
    <w:rsid w:val="00C10795"/>
    <w:rsid w:val="00C1167A"/>
    <w:rsid w:val="00C1168C"/>
    <w:rsid w:val="00C117CA"/>
    <w:rsid w:val="00C11974"/>
    <w:rsid w:val="00C11978"/>
    <w:rsid w:val="00C12893"/>
    <w:rsid w:val="00C12A2B"/>
    <w:rsid w:val="00C12A99"/>
    <w:rsid w:val="00C12D28"/>
    <w:rsid w:val="00C130E0"/>
    <w:rsid w:val="00C13A0D"/>
    <w:rsid w:val="00C13F98"/>
    <w:rsid w:val="00C14186"/>
    <w:rsid w:val="00C141CF"/>
    <w:rsid w:val="00C149FD"/>
    <w:rsid w:val="00C14BB5"/>
    <w:rsid w:val="00C14E8F"/>
    <w:rsid w:val="00C14EC1"/>
    <w:rsid w:val="00C1599B"/>
    <w:rsid w:val="00C15CF1"/>
    <w:rsid w:val="00C161AE"/>
    <w:rsid w:val="00C16456"/>
    <w:rsid w:val="00C16FE7"/>
    <w:rsid w:val="00C170DF"/>
    <w:rsid w:val="00C172D9"/>
    <w:rsid w:val="00C178B3"/>
    <w:rsid w:val="00C17904"/>
    <w:rsid w:val="00C17BA3"/>
    <w:rsid w:val="00C17E3B"/>
    <w:rsid w:val="00C2040B"/>
    <w:rsid w:val="00C20616"/>
    <w:rsid w:val="00C2071F"/>
    <w:rsid w:val="00C20B7D"/>
    <w:rsid w:val="00C20B80"/>
    <w:rsid w:val="00C20F07"/>
    <w:rsid w:val="00C20FEA"/>
    <w:rsid w:val="00C2119B"/>
    <w:rsid w:val="00C21445"/>
    <w:rsid w:val="00C21676"/>
    <w:rsid w:val="00C21763"/>
    <w:rsid w:val="00C21844"/>
    <w:rsid w:val="00C21A00"/>
    <w:rsid w:val="00C21BD2"/>
    <w:rsid w:val="00C21FBE"/>
    <w:rsid w:val="00C22744"/>
    <w:rsid w:val="00C2284F"/>
    <w:rsid w:val="00C22878"/>
    <w:rsid w:val="00C22AA9"/>
    <w:rsid w:val="00C22E7E"/>
    <w:rsid w:val="00C2314C"/>
    <w:rsid w:val="00C23C39"/>
    <w:rsid w:val="00C23C69"/>
    <w:rsid w:val="00C23DE3"/>
    <w:rsid w:val="00C23FFD"/>
    <w:rsid w:val="00C24142"/>
    <w:rsid w:val="00C246B2"/>
    <w:rsid w:val="00C24731"/>
    <w:rsid w:val="00C248BE"/>
    <w:rsid w:val="00C24B09"/>
    <w:rsid w:val="00C24C13"/>
    <w:rsid w:val="00C24D47"/>
    <w:rsid w:val="00C253C3"/>
    <w:rsid w:val="00C25528"/>
    <w:rsid w:val="00C2623F"/>
    <w:rsid w:val="00C26803"/>
    <w:rsid w:val="00C2680E"/>
    <w:rsid w:val="00C26F4D"/>
    <w:rsid w:val="00C26FB8"/>
    <w:rsid w:val="00C27125"/>
    <w:rsid w:val="00C272B4"/>
    <w:rsid w:val="00C274DA"/>
    <w:rsid w:val="00C275A6"/>
    <w:rsid w:val="00C276BC"/>
    <w:rsid w:val="00C27977"/>
    <w:rsid w:val="00C27C2D"/>
    <w:rsid w:val="00C27D3A"/>
    <w:rsid w:val="00C27E4A"/>
    <w:rsid w:val="00C30528"/>
    <w:rsid w:val="00C3099D"/>
    <w:rsid w:val="00C310FA"/>
    <w:rsid w:val="00C311AD"/>
    <w:rsid w:val="00C31514"/>
    <w:rsid w:val="00C3155B"/>
    <w:rsid w:val="00C31962"/>
    <w:rsid w:val="00C31A5E"/>
    <w:rsid w:val="00C31B5C"/>
    <w:rsid w:val="00C31C0B"/>
    <w:rsid w:val="00C31EE5"/>
    <w:rsid w:val="00C321E6"/>
    <w:rsid w:val="00C32239"/>
    <w:rsid w:val="00C32548"/>
    <w:rsid w:val="00C326A8"/>
    <w:rsid w:val="00C32B39"/>
    <w:rsid w:val="00C33020"/>
    <w:rsid w:val="00C3327C"/>
    <w:rsid w:val="00C3345B"/>
    <w:rsid w:val="00C3385C"/>
    <w:rsid w:val="00C338F9"/>
    <w:rsid w:val="00C3396A"/>
    <w:rsid w:val="00C33FC7"/>
    <w:rsid w:val="00C341A1"/>
    <w:rsid w:val="00C3452D"/>
    <w:rsid w:val="00C34586"/>
    <w:rsid w:val="00C345F5"/>
    <w:rsid w:val="00C3468A"/>
    <w:rsid w:val="00C34785"/>
    <w:rsid w:val="00C3489B"/>
    <w:rsid w:val="00C34E2B"/>
    <w:rsid w:val="00C34F4E"/>
    <w:rsid w:val="00C351BF"/>
    <w:rsid w:val="00C35B56"/>
    <w:rsid w:val="00C35C81"/>
    <w:rsid w:val="00C35D3C"/>
    <w:rsid w:val="00C35D56"/>
    <w:rsid w:val="00C35DBF"/>
    <w:rsid w:val="00C36328"/>
    <w:rsid w:val="00C36640"/>
    <w:rsid w:val="00C367F7"/>
    <w:rsid w:val="00C36C33"/>
    <w:rsid w:val="00C36EB2"/>
    <w:rsid w:val="00C37016"/>
    <w:rsid w:val="00C3742C"/>
    <w:rsid w:val="00C37AF3"/>
    <w:rsid w:val="00C37CF0"/>
    <w:rsid w:val="00C37F61"/>
    <w:rsid w:val="00C41266"/>
    <w:rsid w:val="00C41443"/>
    <w:rsid w:val="00C419EC"/>
    <w:rsid w:val="00C41CDF"/>
    <w:rsid w:val="00C41D6D"/>
    <w:rsid w:val="00C42119"/>
    <w:rsid w:val="00C421B8"/>
    <w:rsid w:val="00C42313"/>
    <w:rsid w:val="00C4288A"/>
    <w:rsid w:val="00C42D68"/>
    <w:rsid w:val="00C42DB1"/>
    <w:rsid w:val="00C42F32"/>
    <w:rsid w:val="00C43230"/>
    <w:rsid w:val="00C4363E"/>
    <w:rsid w:val="00C43B5D"/>
    <w:rsid w:val="00C43DCB"/>
    <w:rsid w:val="00C43E03"/>
    <w:rsid w:val="00C44130"/>
    <w:rsid w:val="00C44240"/>
    <w:rsid w:val="00C4452A"/>
    <w:rsid w:val="00C445E3"/>
    <w:rsid w:val="00C4488B"/>
    <w:rsid w:val="00C4491D"/>
    <w:rsid w:val="00C44D18"/>
    <w:rsid w:val="00C455D2"/>
    <w:rsid w:val="00C45781"/>
    <w:rsid w:val="00C45A43"/>
    <w:rsid w:val="00C45BB6"/>
    <w:rsid w:val="00C45C5B"/>
    <w:rsid w:val="00C45D19"/>
    <w:rsid w:val="00C464D2"/>
    <w:rsid w:val="00C4658F"/>
    <w:rsid w:val="00C46639"/>
    <w:rsid w:val="00C466FD"/>
    <w:rsid w:val="00C46D4E"/>
    <w:rsid w:val="00C4750C"/>
    <w:rsid w:val="00C47E4B"/>
    <w:rsid w:val="00C47FB9"/>
    <w:rsid w:val="00C50198"/>
    <w:rsid w:val="00C501FD"/>
    <w:rsid w:val="00C504ED"/>
    <w:rsid w:val="00C50DA3"/>
    <w:rsid w:val="00C510B4"/>
    <w:rsid w:val="00C51347"/>
    <w:rsid w:val="00C513D1"/>
    <w:rsid w:val="00C51425"/>
    <w:rsid w:val="00C51654"/>
    <w:rsid w:val="00C51A30"/>
    <w:rsid w:val="00C52787"/>
    <w:rsid w:val="00C52A6F"/>
    <w:rsid w:val="00C53981"/>
    <w:rsid w:val="00C53B74"/>
    <w:rsid w:val="00C53C84"/>
    <w:rsid w:val="00C53CD6"/>
    <w:rsid w:val="00C53F8E"/>
    <w:rsid w:val="00C54015"/>
    <w:rsid w:val="00C542F3"/>
    <w:rsid w:val="00C544DE"/>
    <w:rsid w:val="00C54BEB"/>
    <w:rsid w:val="00C54D11"/>
    <w:rsid w:val="00C54E1E"/>
    <w:rsid w:val="00C54E38"/>
    <w:rsid w:val="00C555A5"/>
    <w:rsid w:val="00C55D61"/>
    <w:rsid w:val="00C55F98"/>
    <w:rsid w:val="00C55FE7"/>
    <w:rsid w:val="00C55FFA"/>
    <w:rsid w:val="00C569DB"/>
    <w:rsid w:val="00C56B7F"/>
    <w:rsid w:val="00C56BC6"/>
    <w:rsid w:val="00C56F21"/>
    <w:rsid w:val="00C56F79"/>
    <w:rsid w:val="00C572F4"/>
    <w:rsid w:val="00C603CC"/>
    <w:rsid w:val="00C6085B"/>
    <w:rsid w:val="00C61295"/>
    <w:rsid w:val="00C61355"/>
    <w:rsid w:val="00C61449"/>
    <w:rsid w:val="00C619B8"/>
    <w:rsid w:val="00C61EC1"/>
    <w:rsid w:val="00C62442"/>
    <w:rsid w:val="00C62522"/>
    <w:rsid w:val="00C6278C"/>
    <w:rsid w:val="00C62A38"/>
    <w:rsid w:val="00C62FD0"/>
    <w:rsid w:val="00C636F7"/>
    <w:rsid w:val="00C63A76"/>
    <w:rsid w:val="00C63B68"/>
    <w:rsid w:val="00C63E60"/>
    <w:rsid w:val="00C64494"/>
    <w:rsid w:val="00C646D9"/>
    <w:rsid w:val="00C646E4"/>
    <w:rsid w:val="00C648B8"/>
    <w:rsid w:val="00C64B5F"/>
    <w:rsid w:val="00C64DE0"/>
    <w:rsid w:val="00C64F1D"/>
    <w:rsid w:val="00C64F91"/>
    <w:rsid w:val="00C65277"/>
    <w:rsid w:val="00C65533"/>
    <w:rsid w:val="00C65FFF"/>
    <w:rsid w:val="00C662EA"/>
    <w:rsid w:val="00C6642A"/>
    <w:rsid w:val="00C6693B"/>
    <w:rsid w:val="00C678B5"/>
    <w:rsid w:val="00C67A86"/>
    <w:rsid w:val="00C70522"/>
    <w:rsid w:val="00C70913"/>
    <w:rsid w:val="00C70B90"/>
    <w:rsid w:val="00C70C5E"/>
    <w:rsid w:val="00C70C97"/>
    <w:rsid w:val="00C70F3D"/>
    <w:rsid w:val="00C711D2"/>
    <w:rsid w:val="00C71658"/>
    <w:rsid w:val="00C717C6"/>
    <w:rsid w:val="00C71D3D"/>
    <w:rsid w:val="00C73516"/>
    <w:rsid w:val="00C736D1"/>
    <w:rsid w:val="00C73790"/>
    <w:rsid w:val="00C73AEE"/>
    <w:rsid w:val="00C73B78"/>
    <w:rsid w:val="00C73BF7"/>
    <w:rsid w:val="00C744BB"/>
    <w:rsid w:val="00C7491D"/>
    <w:rsid w:val="00C74D3F"/>
    <w:rsid w:val="00C74DF5"/>
    <w:rsid w:val="00C74E9A"/>
    <w:rsid w:val="00C74EC0"/>
    <w:rsid w:val="00C74FCD"/>
    <w:rsid w:val="00C751FA"/>
    <w:rsid w:val="00C75350"/>
    <w:rsid w:val="00C758AC"/>
    <w:rsid w:val="00C759DF"/>
    <w:rsid w:val="00C75A89"/>
    <w:rsid w:val="00C75B24"/>
    <w:rsid w:val="00C76074"/>
    <w:rsid w:val="00C766CA"/>
    <w:rsid w:val="00C76B23"/>
    <w:rsid w:val="00C7722C"/>
    <w:rsid w:val="00C77738"/>
    <w:rsid w:val="00C800A0"/>
    <w:rsid w:val="00C801B6"/>
    <w:rsid w:val="00C802BD"/>
    <w:rsid w:val="00C8045F"/>
    <w:rsid w:val="00C804A9"/>
    <w:rsid w:val="00C8054E"/>
    <w:rsid w:val="00C805D2"/>
    <w:rsid w:val="00C815DC"/>
    <w:rsid w:val="00C819C5"/>
    <w:rsid w:val="00C81E8A"/>
    <w:rsid w:val="00C82122"/>
    <w:rsid w:val="00C8217E"/>
    <w:rsid w:val="00C8238E"/>
    <w:rsid w:val="00C8261C"/>
    <w:rsid w:val="00C828AB"/>
    <w:rsid w:val="00C82C65"/>
    <w:rsid w:val="00C82EF3"/>
    <w:rsid w:val="00C83506"/>
    <w:rsid w:val="00C8376E"/>
    <w:rsid w:val="00C8390E"/>
    <w:rsid w:val="00C83E44"/>
    <w:rsid w:val="00C840E0"/>
    <w:rsid w:val="00C842FD"/>
    <w:rsid w:val="00C85284"/>
    <w:rsid w:val="00C8582C"/>
    <w:rsid w:val="00C861B7"/>
    <w:rsid w:val="00C86846"/>
    <w:rsid w:val="00C868E8"/>
    <w:rsid w:val="00C86902"/>
    <w:rsid w:val="00C86CB3"/>
    <w:rsid w:val="00C86F52"/>
    <w:rsid w:val="00C86FE6"/>
    <w:rsid w:val="00C8743F"/>
    <w:rsid w:val="00C87718"/>
    <w:rsid w:val="00C87CD6"/>
    <w:rsid w:val="00C87CD7"/>
    <w:rsid w:val="00C87CED"/>
    <w:rsid w:val="00C87DBA"/>
    <w:rsid w:val="00C87EB2"/>
    <w:rsid w:val="00C90061"/>
    <w:rsid w:val="00C90063"/>
    <w:rsid w:val="00C90180"/>
    <w:rsid w:val="00C9073A"/>
    <w:rsid w:val="00C9088D"/>
    <w:rsid w:val="00C90C47"/>
    <w:rsid w:val="00C90E0F"/>
    <w:rsid w:val="00C910B4"/>
    <w:rsid w:val="00C91253"/>
    <w:rsid w:val="00C9161D"/>
    <w:rsid w:val="00C91B66"/>
    <w:rsid w:val="00C92003"/>
    <w:rsid w:val="00C92291"/>
    <w:rsid w:val="00C924E1"/>
    <w:rsid w:val="00C926CB"/>
    <w:rsid w:val="00C92A6A"/>
    <w:rsid w:val="00C92CE4"/>
    <w:rsid w:val="00C92E16"/>
    <w:rsid w:val="00C93011"/>
    <w:rsid w:val="00C93367"/>
    <w:rsid w:val="00C94018"/>
    <w:rsid w:val="00C947A5"/>
    <w:rsid w:val="00C94A47"/>
    <w:rsid w:val="00C94E30"/>
    <w:rsid w:val="00C94FD3"/>
    <w:rsid w:val="00C95D87"/>
    <w:rsid w:val="00C962A3"/>
    <w:rsid w:val="00C973A8"/>
    <w:rsid w:val="00C974EF"/>
    <w:rsid w:val="00CA04D4"/>
    <w:rsid w:val="00CA0690"/>
    <w:rsid w:val="00CA0D38"/>
    <w:rsid w:val="00CA1177"/>
    <w:rsid w:val="00CA11B8"/>
    <w:rsid w:val="00CA1373"/>
    <w:rsid w:val="00CA145B"/>
    <w:rsid w:val="00CA17BD"/>
    <w:rsid w:val="00CA1DB6"/>
    <w:rsid w:val="00CA21F1"/>
    <w:rsid w:val="00CA21F2"/>
    <w:rsid w:val="00CA24FE"/>
    <w:rsid w:val="00CA250F"/>
    <w:rsid w:val="00CA26C7"/>
    <w:rsid w:val="00CA2984"/>
    <w:rsid w:val="00CA2A68"/>
    <w:rsid w:val="00CA2CBA"/>
    <w:rsid w:val="00CA307A"/>
    <w:rsid w:val="00CA33ED"/>
    <w:rsid w:val="00CA379E"/>
    <w:rsid w:val="00CA38AB"/>
    <w:rsid w:val="00CA3B94"/>
    <w:rsid w:val="00CA4887"/>
    <w:rsid w:val="00CA50F9"/>
    <w:rsid w:val="00CA54B0"/>
    <w:rsid w:val="00CA55C1"/>
    <w:rsid w:val="00CA5655"/>
    <w:rsid w:val="00CA5919"/>
    <w:rsid w:val="00CA5B86"/>
    <w:rsid w:val="00CA5CAF"/>
    <w:rsid w:val="00CA621B"/>
    <w:rsid w:val="00CA6343"/>
    <w:rsid w:val="00CA68FD"/>
    <w:rsid w:val="00CA6CA0"/>
    <w:rsid w:val="00CA6E68"/>
    <w:rsid w:val="00CA7045"/>
    <w:rsid w:val="00CA730F"/>
    <w:rsid w:val="00CA7397"/>
    <w:rsid w:val="00CA7966"/>
    <w:rsid w:val="00CB0E90"/>
    <w:rsid w:val="00CB11B5"/>
    <w:rsid w:val="00CB13F6"/>
    <w:rsid w:val="00CB18D1"/>
    <w:rsid w:val="00CB1D4D"/>
    <w:rsid w:val="00CB1FB3"/>
    <w:rsid w:val="00CB2256"/>
    <w:rsid w:val="00CB2360"/>
    <w:rsid w:val="00CB24E0"/>
    <w:rsid w:val="00CB2786"/>
    <w:rsid w:val="00CB28B9"/>
    <w:rsid w:val="00CB35D0"/>
    <w:rsid w:val="00CB371F"/>
    <w:rsid w:val="00CB3850"/>
    <w:rsid w:val="00CB3C2C"/>
    <w:rsid w:val="00CB3C61"/>
    <w:rsid w:val="00CB4091"/>
    <w:rsid w:val="00CB42A2"/>
    <w:rsid w:val="00CB497B"/>
    <w:rsid w:val="00CB4985"/>
    <w:rsid w:val="00CB4CBD"/>
    <w:rsid w:val="00CB544A"/>
    <w:rsid w:val="00CB5723"/>
    <w:rsid w:val="00CB5750"/>
    <w:rsid w:val="00CB5B75"/>
    <w:rsid w:val="00CB612D"/>
    <w:rsid w:val="00CB6870"/>
    <w:rsid w:val="00CB6AC3"/>
    <w:rsid w:val="00CB7907"/>
    <w:rsid w:val="00CB792D"/>
    <w:rsid w:val="00CB7B43"/>
    <w:rsid w:val="00CB7F00"/>
    <w:rsid w:val="00CC02CB"/>
    <w:rsid w:val="00CC0498"/>
    <w:rsid w:val="00CC0738"/>
    <w:rsid w:val="00CC0855"/>
    <w:rsid w:val="00CC09DC"/>
    <w:rsid w:val="00CC0E00"/>
    <w:rsid w:val="00CC0E06"/>
    <w:rsid w:val="00CC103A"/>
    <w:rsid w:val="00CC1132"/>
    <w:rsid w:val="00CC113C"/>
    <w:rsid w:val="00CC1163"/>
    <w:rsid w:val="00CC143E"/>
    <w:rsid w:val="00CC1591"/>
    <w:rsid w:val="00CC1B6B"/>
    <w:rsid w:val="00CC20F3"/>
    <w:rsid w:val="00CC22C4"/>
    <w:rsid w:val="00CC2365"/>
    <w:rsid w:val="00CC24A3"/>
    <w:rsid w:val="00CC2535"/>
    <w:rsid w:val="00CC25BC"/>
    <w:rsid w:val="00CC2C00"/>
    <w:rsid w:val="00CC2FE3"/>
    <w:rsid w:val="00CC3311"/>
    <w:rsid w:val="00CC3B2A"/>
    <w:rsid w:val="00CC4ACB"/>
    <w:rsid w:val="00CC552E"/>
    <w:rsid w:val="00CC5691"/>
    <w:rsid w:val="00CC577F"/>
    <w:rsid w:val="00CC6A78"/>
    <w:rsid w:val="00CC6B2B"/>
    <w:rsid w:val="00CC6F47"/>
    <w:rsid w:val="00CC6F85"/>
    <w:rsid w:val="00CC70F6"/>
    <w:rsid w:val="00CC7251"/>
    <w:rsid w:val="00CC77EA"/>
    <w:rsid w:val="00CC7970"/>
    <w:rsid w:val="00CC7FB1"/>
    <w:rsid w:val="00CD0105"/>
    <w:rsid w:val="00CD0149"/>
    <w:rsid w:val="00CD0753"/>
    <w:rsid w:val="00CD0BD7"/>
    <w:rsid w:val="00CD137B"/>
    <w:rsid w:val="00CD1E48"/>
    <w:rsid w:val="00CD274B"/>
    <w:rsid w:val="00CD2B5D"/>
    <w:rsid w:val="00CD2D24"/>
    <w:rsid w:val="00CD2EDC"/>
    <w:rsid w:val="00CD316A"/>
    <w:rsid w:val="00CD353C"/>
    <w:rsid w:val="00CD3EFF"/>
    <w:rsid w:val="00CD3F24"/>
    <w:rsid w:val="00CD460D"/>
    <w:rsid w:val="00CD4B1F"/>
    <w:rsid w:val="00CD4B7B"/>
    <w:rsid w:val="00CD4C3E"/>
    <w:rsid w:val="00CD4DAB"/>
    <w:rsid w:val="00CD4F34"/>
    <w:rsid w:val="00CD5240"/>
    <w:rsid w:val="00CD57C3"/>
    <w:rsid w:val="00CD5907"/>
    <w:rsid w:val="00CD5DAA"/>
    <w:rsid w:val="00CD5EFA"/>
    <w:rsid w:val="00CD6227"/>
    <w:rsid w:val="00CD675E"/>
    <w:rsid w:val="00CD6AB0"/>
    <w:rsid w:val="00CD6ACC"/>
    <w:rsid w:val="00CD6BC0"/>
    <w:rsid w:val="00CD6C2A"/>
    <w:rsid w:val="00CD6DA4"/>
    <w:rsid w:val="00CD752B"/>
    <w:rsid w:val="00CD76E8"/>
    <w:rsid w:val="00CD7B4D"/>
    <w:rsid w:val="00CD7E44"/>
    <w:rsid w:val="00CE071B"/>
    <w:rsid w:val="00CE1641"/>
    <w:rsid w:val="00CE1965"/>
    <w:rsid w:val="00CE1BC5"/>
    <w:rsid w:val="00CE27FA"/>
    <w:rsid w:val="00CE2A75"/>
    <w:rsid w:val="00CE2CB6"/>
    <w:rsid w:val="00CE2DEA"/>
    <w:rsid w:val="00CE3174"/>
    <w:rsid w:val="00CE3963"/>
    <w:rsid w:val="00CE39A0"/>
    <w:rsid w:val="00CE39FA"/>
    <w:rsid w:val="00CE3B63"/>
    <w:rsid w:val="00CE3C9D"/>
    <w:rsid w:val="00CE3F1D"/>
    <w:rsid w:val="00CE3FD9"/>
    <w:rsid w:val="00CE4082"/>
    <w:rsid w:val="00CE416A"/>
    <w:rsid w:val="00CE424A"/>
    <w:rsid w:val="00CE45C7"/>
    <w:rsid w:val="00CE49AF"/>
    <w:rsid w:val="00CE532E"/>
    <w:rsid w:val="00CE559D"/>
    <w:rsid w:val="00CE57BB"/>
    <w:rsid w:val="00CE5907"/>
    <w:rsid w:val="00CE60D1"/>
    <w:rsid w:val="00CE6232"/>
    <w:rsid w:val="00CE74C9"/>
    <w:rsid w:val="00CE7581"/>
    <w:rsid w:val="00CE768C"/>
    <w:rsid w:val="00CF002D"/>
    <w:rsid w:val="00CF04FC"/>
    <w:rsid w:val="00CF0A44"/>
    <w:rsid w:val="00CF0ED5"/>
    <w:rsid w:val="00CF0F20"/>
    <w:rsid w:val="00CF114B"/>
    <w:rsid w:val="00CF1A0E"/>
    <w:rsid w:val="00CF20CD"/>
    <w:rsid w:val="00CF227C"/>
    <w:rsid w:val="00CF249E"/>
    <w:rsid w:val="00CF25AB"/>
    <w:rsid w:val="00CF2F3B"/>
    <w:rsid w:val="00CF3120"/>
    <w:rsid w:val="00CF32E0"/>
    <w:rsid w:val="00CF39D9"/>
    <w:rsid w:val="00CF39F3"/>
    <w:rsid w:val="00CF3ABE"/>
    <w:rsid w:val="00CF3E44"/>
    <w:rsid w:val="00CF43A0"/>
    <w:rsid w:val="00CF43C7"/>
    <w:rsid w:val="00CF475F"/>
    <w:rsid w:val="00CF50AD"/>
    <w:rsid w:val="00CF52B9"/>
    <w:rsid w:val="00CF58CF"/>
    <w:rsid w:val="00CF5D4B"/>
    <w:rsid w:val="00CF5F34"/>
    <w:rsid w:val="00CF630C"/>
    <w:rsid w:val="00CF6550"/>
    <w:rsid w:val="00CF67BF"/>
    <w:rsid w:val="00CF6D33"/>
    <w:rsid w:val="00CF6EE3"/>
    <w:rsid w:val="00CF70A3"/>
    <w:rsid w:val="00CF7D51"/>
    <w:rsid w:val="00CF7F3B"/>
    <w:rsid w:val="00D00211"/>
    <w:rsid w:val="00D00284"/>
    <w:rsid w:val="00D00801"/>
    <w:rsid w:val="00D00B82"/>
    <w:rsid w:val="00D00CEF"/>
    <w:rsid w:val="00D00D31"/>
    <w:rsid w:val="00D00E64"/>
    <w:rsid w:val="00D01D11"/>
    <w:rsid w:val="00D01E38"/>
    <w:rsid w:val="00D02171"/>
    <w:rsid w:val="00D021C8"/>
    <w:rsid w:val="00D02A16"/>
    <w:rsid w:val="00D02C3F"/>
    <w:rsid w:val="00D02EEA"/>
    <w:rsid w:val="00D02F02"/>
    <w:rsid w:val="00D0312C"/>
    <w:rsid w:val="00D032E8"/>
    <w:rsid w:val="00D03541"/>
    <w:rsid w:val="00D03FC0"/>
    <w:rsid w:val="00D0416E"/>
    <w:rsid w:val="00D041F1"/>
    <w:rsid w:val="00D04445"/>
    <w:rsid w:val="00D04804"/>
    <w:rsid w:val="00D052DD"/>
    <w:rsid w:val="00D05419"/>
    <w:rsid w:val="00D055E0"/>
    <w:rsid w:val="00D05720"/>
    <w:rsid w:val="00D05735"/>
    <w:rsid w:val="00D0578D"/>
    <w:rsid w:val="00D05965"/>
    <w:rsid w:val="00D05BAA"/>
    <w:rsid w:val="00D05D8C"/>
    <w:rsid w:val="00D06002"/>
    <w:rsid w:val="00D06287"/>
    <w:rsid w:val="00D0638E"/>
    <w:rsid w:val="00D064A8"/>
    <w:rsid w:val="00D068E7"/>
    <w:rsid w:val="00D06D89"/>
    <w:rsid w:val="00D071CB"/>
    <w:rsid w:val="00D07289"/>
    <w:rsid w:val="00D072CE"/>
    <w:rsid w:val="00D07386"/>
    <w:rsid w:val="00D077FF"/>
    <w:rsid w:val="00D10240"/>
    <w:rsid w:val="00D10B68"/>
    <w:rsid w:val="00D113FD"/>
    <w:rsid w:val="00D1176B"/>
    <w:rsid w:val="00D11AC5"/>
    <w:rsid w:val="00D11ECE"/>
    <w:rsid w:val="00D11F54"/>
    <w:rsid w:val="00D1202D"/>
    <w:rsid w:val="00D126F9"/>
    <w:rsid w:val="00D12A01"/>
    <w:rsid w:val="00D12AEC"/>
    <w:rsid w:val="00D135D7"/>
    <w:rsid w:val="00D13687"/>
    <w:rsid w:val="00D13AEA"/>
    <w:rsid w:val="00D13E98"/>
    <w:rsid w:val="00D13F63"/>
    <w:rsid w:val="00D140DE"/>
    <w:rsid w:val="00D1421A"/>
    <w:rsid w:val="00D147D0"/>
    <w:rsid w:val="00D148CF"/>
    <w:rsid w:val="00D148EB"/>
    <w:rsid w:val="00D14937"/>
    <w:rsid w:val="00D14A42"/>
    <w:rsid w:val="00D14BF7"/>
    <w:rsid w:val="00D14BFB"/>
    <w:rsid w:val="00D14C65"/>
    <w:rsid w:val="00D14CD0"/>
    <w:rsid w:val="00D14CDE"/>
    <w:rsid w:val="00D14FF8"/>
    <w:rsid w:val="00D151BC"/>
    <w:rsid w:val="00D15669"/>
    <w:rsid w:val="00D156CE"/>
    <w:rsid w:val="00D15969"/>
    <w:rsid w:val="00D15D3F"/>
    <w:rsid w:val="00D15EA7"/>
    <w:rsid w:val="00D15FE8"/>
    <w:rsid w:val="00D16018"/>
    <w:rsid w:val="00D16574"/>
    <w:rsid w:val="00D16A55"/>
    <w:rsid w:val="00D16F7F"/>
    <w:rsid w:val="00D16FC6"/>
    <w:rsid w:val="00D17908"/>
    <w:rsid w:val="00D2051F"/>
    <w:rsid w:val="00D207E9"/>
    <w:rsid w:val="00D20A61"/>
    <w:rsid w:val="00D20ACC"/>
    <w:rsid w:val="00D20C86"/>
    <w:rsid w:val="00D213B0"/>
    <w:rsid w:val="00D213D0"/>
    <w:rsid w:val="00D2174A"/>
    <w:rsid w:val="00D21839"/>
    <w:rsid w:val="00D21B91"/>
    <w:rsid w:val="00D21E60"/>
    <w:rsid w:val="00D2202D"/>
    <w:rsid w:val="00D221A9"/>
    <w:rsid w:val="00D2243D"/>
    <w:rsid w:val="00D2246C"/>
    <w:rsid w:val="00D22668"/>
    <w:rsid w:val="00D2283F"/>
    <w:rsid w:val="00D236C1"/>
    <w:rsid w:val="00D23CFD"/>
    <w:rsid w:val="00D23DA4"/>
    <w:rsid w:val="00D2412B"/>
    <w:rsid w:val="00D24134"/>
    <w:rsid w:val="00D2414C"/>
    <w:rsid w:val="00D242CE"/>
    <w:rsid w:val="00D243BC"/>
    <w:rsid w:val="00D24BDA"/>
    <w:rsid w:val="00D24CF7"/>
    <w:rsid w:val="00D24EF2"/>
    <w:rsid w:val="00D24F83"/>
    <w:rsid w:val="00D2504C"/>
    <w:rsid w:val="00D25597"/>
    <w:rsid w:val="00D25E7A"/>
    <w:rsid w:val="00D26060"/>
    <w:rsid w:val="00D260B0"/>
    <w:rsid w:val="00D26167"/>
    <w:rsid w:val="00D26542"/>
    <w:rsid w:val="00D269DA"/>
    <w:rsid w:val="00D271E3"/>
    <w:rsid w:val="00D2730D"/>
    <w:rsid w:val="00D2734F"/>
    <w:rsid w:val="00D27374"/>
    <w:rsid w:val="00D273C1"/>
    <w:rsid w:val="00D274B5"/>
    <w:rsid w:val="00D278B5"/>
    <w:rsid w:val="00D300C0"/>
    <w:rsid w:val="00D300D6"/>
    <w:rsid w:val="00D3011D"/>
    <w:rsid w:val="00D308E8"/>
    <w:rsid w:val="00D30AEC"/>
    <w:rsid w:val="00D30BA7"/>
    <w:rsid w:val="00D30E3D"/>
    <w:rsid w:val="00D30E5B"/>
    <w:rsid w:val="00D31048"/>
    <w:rsid w:val="00D311E2"/>
    <w:rsid w:val="00D31439"/>
    <w:rsid w:val="00D31934"/>
    <w:rsid w:val="00D31A6D"/>
    <w:rsid w:val="00D31AC9"/>
    <w:rsid w:val="00D31B28"/>
    <w:rsid w:val="00D320E6"/>
    <w:rsid w:val="00D324D8"/>
    <w:rsid w:val="00D326E7"/>
    <w:rsid w:val="00D32741"/>
    <w:rsid w:val="00D32974"/>
    <w:rsid w:val="00D32D15"/>
    <w:rsid w:val="00D32E37"/>
    <w:rsid w:val="00D32FCA"/>
    <w:rsid w:val="00D33289"/>
    <w:rsid w:val="00D33298"/>
    <w:rsid w:val="00D33AC0"/>
    <w:rsid w:val="00D33B66"/>
    <w:rsid w:val="00D33EA1"/>
    <w:rsid w:val="00D341F7"/>
    <w:rsid w:val="00D3451E"/>
    <w:rsid w:val="00D346E7"/>
    <w:rsid w:val="00D34C1D"/>
    <w:rsid w:val="00D34C85"/>
    <w:rsid w:val="00D34F73"/>
    <w:rsid w:val="00D353A7"/>
    <w:rsid w:val="00D35AA1"/>
    <w:rsid w:val="00D35E41"/>
    <w:rsid w:val="00D36132"/>
    <w:rsid w:val="00D36217"/>
    <w:rsid w:val="00D36233"/>
    <w:rsid w:val="00D36AEE"/>
    <w:rsid w:val="00D36AF3"/>
    <w:rsid w:val="00D36BC7"/>
    <w:rsid w:val="00D36DC5"/>
    <w:rsid w:val="00D370F9"/>
    <w:rsid w:val="00D37699"/>
    <w:rsid w:val="00D37979"/>
    <w:rsid w:val="00D37991"/>
    <w:rsid w:val="00D37B0B"/>
    <w:rsid w:val="00D37FCE"/>
    <w:rsid w:val="00D40316"/>
    <w:rsid w:val="00D40474"/>
    <w:rsid w:val="00D40494"/>
    <w:rsid w:val="00D405B1"/>
    <w:rsid w:val="00D4062F"/>
    <w:rsid w:val="00D40648"/>
    <w:rsid w:val="00D40A4A"/>
    <w:rsid w:val="00D40A97"/>
    <w:rsid w:val="00D40B7F"/>
    <w:rsid w:val="00D40BE1"/>
    <w:rsid w:val="00D40D73"/>
    <w:rsid w:val="00D40E46"/>
    <w:rsid w:val="00D41019"/>
    <w:rsid w:val="00D41021"/>
    <w:rsid w:val="00D4120B"/>
    <w:rsid w:val="00D414B8"/>
    <w:rsid w:val="00D415C8"/>
    <w:rsid w:val="00D42373"/>
    <w:rsid w:val="00D42534"/>
    <w:rsid w:val="00D425DA"/>
    <w:rsid w:val="00D42848"/>
    <w:rsid w:val="00D42AAB"/>
    <w:rsid w:val="00D42C51"/>
    <w:rsid w:val="00D4346A"/>
    <w:rsid w:val="00D435C2"/>
    <w:rsid w:val="00D436BA"/>
    <w:rsid w:val="00D438AE"/>
    <w:rsid w:val="00D439C3"/>
    <w:rsid w:val="00D43E46"/>
    <w:rsid w:val="00D43F5A"/>
    <w:rsid w:val="00D441BE"/>
    <w:rsid w:val="00D44266"/>
    <w:rsid w:val="00D44C86"/>
    <w:rsid w:val="00D4513A"/>
    <w:rsid w:val="00D45CC4"/>
    <w:rsid w:val="00D464CF"/>
    <w:rsid w:val="00D46A57"/>
    <w:rsid w:val="00D46E14"/>
    <w:rsid w:val="00D4701C"/>
    <w:rsid w:val="00D47250"/>
    <w:rsid w:val="00D47B9E"/>
    <w:rsid w:val="00D47C3A"/>
    <w:rsid w:val="00D47D40"/>
    <w:rsid w:val="00D47E59"/>
    <w:rsid w:val="00D50673"/>
    <w:rsid w:val="00D5076C"/>
    <w:rsid w:val="00D50A27"/>
    <w:rsid w:val="00D50BC6"/>
    <w:rsid w:val="00D50C39"/>
    <w:rsid w:val="00D50E12"/>
    <w:rsid w:val="00D5113C"/>
    <w:rsid w:val="00D513F9"/>
    <w:rsid w:val="00D515B6"/>
    <w:rsid w:val="00D51EE6"/>
    <w:rsid w:val="00D52074"/>
    <w:rsid w:val="00D52228"/>
    <w:rsid w:val="00D52E95"/>
    <w:rsid w:val="00D533CF"/>
    <w:rsid w:val="00D53638"/>
    <w:rsid w:val="00D5436E"/>
    <w:rsid w:val="00D54905"/>
    <w:rsid w:val="00D54A89"/>
    <w:rsid w:val="00D552E8"/>
    <w:rsid w:val="00D5601C"/>
    <w:rsid w:val="00D56183"/>
    <w:rsid w:val="00D5652C"/>
    <w:rsid w:val="00D56538"/>
    <w:rsid w:val="00D5686E"/>
    <w:rsid w:val="00D568E8"/>
    <w:rsid w:val="00D56A45"/>
    <w:rsid w:val="00D56B13"/>
    <w:rsid w:val="00D56D14"/>
    <w:rsid w:val="00D5743F"/>
    <w:rsid w:val="00D57910"/>
    <w:rsid w:val="00D57A6E"/>
    <w:rsid w:val="00D57DF9"/>
    <w:rsid w:val="00D57F00"/>
    <w:rsid w:val="00D603D8"/>
    <w:rsid w:val="00D603DB"/>
    <w:rsid w:val="00D6138B"/>
    <w:rsid w:val="00D61393"/>
    <w:rsid w:val="00D614A7"/>
    <w:rsid w:val="00D6184B"/>
    <w:rsid w:val="00D619C3"/>
    <w:rsid w:val="00D61EF2"/>
    <w:rsid w:val="00D62343"/>
    <w:rsid w:val="00D6280A"/>
    <w:rsid w:val="00D62915"/>
    <w:rsid w:val="00D62DD5"/>
    <w:rsid w:val="00D63117"/>
    <w:rsid w:val="00D633FB"/>
    <w:rsid w:val="00D637F3"/>
    <w:rsid w:val="00D638F9"/>
    <w:rsid w:val="00D640B8"/>
    <w:rsid w:val="00D641E9"/>
    <w:rsid w:val="00D647C3"/>
    <w:rsid w:val="00D6486D"/>
    <w:rsid w:val="00D64A98"/>
    <w:rsid w:val="00D653DE"/>
    <w:rsid w:val="00D65669"/>
    <w:rsid w:val="00D65961"/>
    <w:rsid w:val="00D66047"/>
    <w:rsid w:val="00D674F1"/>
    <w:rsid w:val="00D6752A"/>
    <w:rsid w:val="00D678EC"/>
    <w:rsid w:val="00D6797B"/>
    <w:rsid w:val="00D67BC4"/>
    <w:rsid w:val="00D70D90"/>
    <w:rsid w:val="00D70F70"/>
    <w:rsid w:val="00D70F71"/>
    <w:rsid w:val="00D70F82"/>
    <w:rsid w:val="00D710C1"/>
    <w:rsid w:val="00D711CC"/>
    <w:rsid w:val="00D71262"/>
    <w:rsid w:val="00D712D6"/>
    <w:rsid w:val="00D71AB7"/>
    <w:rsid w:val="00D7270C"/>
    <w:rsid w:val="00D72719"/>
    <w:rsid w:val="00D7271D"/>
    <w:rsid w:val="00D728B0"/>
    <w:rsid w:val="00D7303E"/>
    <w:rsid w:val="00D73051"/>
    <w:rsid w:val="00D73150"/>
    <w:rsid w:val="00D732C3"/>
    <w:rsid w:val="00D73362"/>
    <w:rsid w:val="00D738ED"/>
    <w:rsid w:val="00D73DCE"/>
    <w:rsid w:val="00D73E6E"/>
    <w:rsid w:val="00D73E79"/>
    <w:rsid w:val="00D74031"/>
    <w:rsid w:val="00D7407C"/>
    <w:rsid w:val="00D74197"/>
    <w:rsid w:val="00D741C5"/>
    <w:rsid w:val="00D74600"/>
    <w:rsid w:val="00D7465D"/>
    <w:rsid w:val="00D753B8"/>
    <w:rsid w:val="00D7553F"/>
    <w:rsid w:val="00D757A6"/>
    <w:rsid w:val="00D75CC0"/>
    <w:rsid w:val="00D75F36"/>
    <w:rsid w:val="00D760C1"/>
    <w:rsid w:val="00D762E4"/>
    <w:rsid w:val="00D775F9"/>
    <w:rsid w:val="00D776C6"/>
    <w:rsid w:val="00D776DC"/>
    <w:rsid w:val="00D777A7"/>
    <w:rsid w:val="00D77BB2"/>
    <w:rsid w:val="00D77C87"/>
    <w:rsid w:val="00D80B68"/>
    <w:rsid w:val="00D8110F"/>
    <w:rsid w:val="00D81136"/>
    <w:rsid w:val="00D81209"/>
    <w:rsid w:val="00D81677"/>
    <w:rsid w:val="00D8230D"/>
    <w:rsid w:val="00D82C3D"/>
    <w:rsid w:val="00D82DB1"/>
    <w:rsid w:val="00D82F21"/>
    <w:rsid w:val="00D8329B"/>
    <w:rsid w:val="00D833FD"/>
    <w:rsid w:val="00D83FEF"/>
    <w:rsid w:val="00D84602"/>
    <w:rsid w:val="00D84B0E"/>
    <w:rsid w:val="00D84D9C"/>
    <w:rsid w:val="00D856C4"/>
    <w:rsid w:val="00D85B85"/>
    <w:rsid w:val="00D8669A"/>
    <w:rsid w:val="00D86740"/>
    <w:rsid w:val="00D867C1"/>
    <w:rsid w:val="00D86969"/>
    <w:rsid w:val="00D86C9E"/>
    <w:rsid w:val="00D86CC5"/>
    <w:rsid w:val="00D86D88"/>
    <w:rsid w:val="00D86E9E"/>
    <w:rsid w:val="00D87134"/>
    <w:rsid w:val="00D8717C"/>
    <w:rsid w:val="00D874F2"/>
    <w:rsid w:val="00D876C2"/>
    <w:rsid w:val="00D87D3F"/>
    <w:rsid w:val="00D87D69"/>
    <w:rsid w:val="00D903A2"/>
    <w:rsid w:val="00D907D6"/>
    <w:rsid w:val="00D908D6"/>
    <w:rsid w:val="00D908F2"/>
    <w:rsid w:val="00D90C93"/>
    <w:rsid w:val="00D90D67"/>
    <w:rsid w:val="00D90D94"/>
    <w:rsid w:val="00D910F7"/>
    <w:rsid w:val="00D9135F"/>
    <w:rsid w:val="00D9178D"/>
    <w:rsid w:val="00D91818"/>
    <w:rsid w:val="00D91BED"/>
    <w:rsid w:val="00D9243D"/>
    <w:rsid w:val="00D92C62"/>
    <w:rsid w:val="00D930AA"/>
    <w:rsid w:val="00D93D44"/>
    <w:rsid w:val="00D943FA"/>
    <w:rsid w:val="00D944BE"/>
    <w:rsid w:val="00D9463F"/>
    <w:rsid w:val="00D94EDE"/>
    <w:rsid w:val="00D94EFB"/>
    <w:rsid w:val="00D9503C"/>
    <w:rsid w:val="00D95355"/>
    <w:rsid w:val="00D95A3E"/>
    <w:rsid w:val="00D95A61"/>
    <w:rsid w:val="00D96236"/>
    <w:rsid w:val="00D964ED"/>
    <w:rsid w:val="00D96577"/>
    <w:rsid w:val="00D9684F"/>
    <w:rsid w:val="00D96865"/>
    <w:rsid w:val="00D9688D"/>
    <w:rsid w:val="00D96AD8"/>
    <w:rsid w:val="00D96D19"/>
    <w:rsid w:val="00D96E04"/>
    <w:rsid w:val="00D96FF5"/>
    <w:rsid w:val="00D977E1"/>
    <w:rsid w:val="00D97C5F"/>
    <w:rsid w:val="00DA0206"/>
    <w:rsid w:val="00DA0309"/>
    <w:rsid w:val="00DA09FF"/>
    <w:rsid w:val="00DA0A8F"/>
    <w:rsid w:val="00DA109B"/>
    <w:rsid w:val="00DA1108"/>
    <w:rsid w:val="00DA155F"/>
    <w:rsid w:val="00DA15B4"/>
    <w:rsid w:val="00DA175C"/>
    <w:rsid w:val="00DA1D13"/>
    <w:rsid w:val="00DA1F1C"/>
    <w:rsid w:val="00DA209E"/>
    <w:rsid w:val="00DA20E7"/>
    <w:rsid w:val="00DA24BD"/>
    <w:rsid w:val="00DA2B47"/>
    <w:rsid w:val="00DA2B95"/>
    <w:rsid w:val="00DA2CD4"/>
    <w:rsid w:val="00DA2FF4"/>
    <w:rsid w:val="00DA3149"/>
    <w:rsid w:val="00DA3156"/>
    <w:rsid w:val="00DA3D30"/>
    <w:rsid w:val="00DA4571"/>
    <w:rsid w:val="00DA46D4"/>
    <w:rsid w:val="00DA48EE"/>
    <w:rsid w:val="00DA4B2F"/>
    <w:rsid w:val="00DA4E42"/>
    <w:rsid w:val="00DA4F96"/>
    <w:rsid w:val="00DA51C7"/>
    <w:rsid w:val="00DA5BC9"/>
    <w:rsid w:val="00DA5D33"/>
    <w:rsid w:val="00DA6E0C"/>
    <w:rsid w:val="00DA6FAE"/>
    <w:rsid w:val="00DA7566"/>
    <w:rsid w:val="00DA7827"/>
    <w:rsid w:val="00DA79B1"/>
    <w:rsid w:val="00DA7EF7"/>
    <w:rsid w:val="00DA7F72"/>
    <w:rsid w:val="00DB03C5"/>
    <w:rsid w:val="00DB0825"/>
    <w:rsid w:val="00DB0880"/>
    <w:rsid w:val="00DB0EA7"/>
    <w:rsid w:val="00DB0F0F"/>
    <w:rsid w:val="00DB10C0"/>
    <w:rsid w:val="00DB1312"/>
    <w:rsid w:val="00DB1595"/>
    <w:rsid w:val="00DB15DF"/>
    <w:rsid w:val="00DB1847"/>
    <w:rsid w:val="00DB1DE0"/>
    <w:rsid w:val="00DB2C0F"/>
    <w:rsid w:val="00DB2E16"/>
    <w:rsid w:val="00DB3243"/>
    <w:rsid w:val="00DB32F5"/>
    <w:rsid w:val="00DB3B1D"/>
    <w:rsid w:val="00DB406C"/>
    <w:rsid w:val="00DB4327"/>
    <w:rsid w:val="00DB461C"/>
    <w:rsid w:val="00DB465A"/>
    <w:rsid w:val="00DB4991"/>
    <w:rsid w:val="00DB4A1F"/>
    <w:rsid w:val="00DB4F1D"/>
    <w:rsid w:val="00DB5204"/>
    <w:rsid w:val="00DB524D"/>
    <w:rsid w:val="00DB55F4"/>
    <w:rsid w:val="00DB5812"/>
    <w:rsid w:val="00DB58FB"/>
    <w:rsid w:val="00DB60E7"/>
    <w:rsid w:val="00DB63F4"/>
    <w:rsid w:val="00DB65C5"/>
    <w:rsid w:val="00DB69EA"/>
    <w:rsid w:val="00DB6E19"/>
    <w:rsid w:val="00DB7018"/>
    <w:rsid w:val="00DC1852"/>
    <w:rsid w:val="00DC1C9B"/>
    <w:rsid w:val="00DC1CE8"/>
    <w:rsid w:val="00DC1E57"/>
    <w:rsid w:val="00DC1EB2"/>
    <w:rsid w:val="00DC25C6"/>
    <w:rsid w:val="00DC2B92"/>
    <w:rsid w:val="00DC2C73"/>
    <w:rsid w:val="00DC32EF"/>
    <w:rsid w:val="00DC3456"/>
    <w:rsid w:val="00DC45B6"/>
    <w:rsid w:val="00DC4C32"/>
    <w:rsid w:val="00DC550D"/>
    <w:rsid w:val="00DC5719"/>
    <w:rsid w:val="00DC5E7E"/>
    <w:rsid w:val="00DC5EB9"/>
    <w:rsid w:val="00DC5F51"/>
    <w:rsid w:val="00DC6AEF"/>
    <w:rsid w:val="00DC6C48"/>
    <w:rsid w:val="00DC71A0"/>
    <w:rsid w:val="00DC7B51"/>
    <w:rsid w:val="00DC7C50"/>
    <w:rsid w:val="00DC7F85"/>
    <w:rsid w:val="00DD00F6"/>
    <w:rsid w:val="00DD0150"/>
    <w:rsid w:val="00DD0368"/>
    <w:rsid w:val="00DD0B57"/>
    <w:rsid w:val="00DD1442"/>
    <w:rsid w:val="00DD14B1"/>
    <w:rsid w:val="00DD1D4F"/>
    <w:rsid w:val="00DD1EBF"/>
    <w:rsid w:val="00DD1FCF"/>
    <w:rsid w:val="00DD1FF7"/>
    <w:rsid w:val="00DD223A"/>
    <w:rsid w:val="00DD2BBB"/>
    <w:rsid w:val="00DD3E38"/>
    <w:rsid w:val="00DD4011"/>
    <w:rsid w:val="00DD4428"/>
    <w:rsid w:val="00DD44FE"/>
    <w:rsid w:val="00DD479A"/>
    <w:rsid w:val="00DD4A5B"/>
    <w:rsid w:val="00DD4C5A"/>
    <w:rsid w:val="00DD4C63"/>
    <w:rsid w:val="00DD4F55"/>
    <w:rsid w:val="00DD54F0"/>
    <w:rsid w:val="00DD5526"/>
    <w:rsid w:val="00DD566E"/>
    <w:rsid w:val="00DD5C4C"/>
    <w:rsid w:val="00DD5DB2"/>
    <w:rsid w:val="00DD5E67"/>
    <w:rsid w:val="00DD5F5A"/>
    <w:rsid w:val="00DD5FE6"/>
    <w:rsid w:val="00DD677C"/>
    <w:rsid w:val="00DD6B26"/>
    <w:rsid w:val="00DD713B"/>
    <w:rsid w:val="00DD719D"/>
    <w:rsid w:val="00DD7223"/>
    <w:rsid w:val="00DD7577"/>
    <w:rsid w:val="00DD759D"/>
    <w:rsid w:val="00DD783F"/>
    <w:rsid w:val="00DD7894"/>
    <w:rsid w:val="00DD79AD"/>
    <w:rsid w:val="00DD7CF2"/>
    <w:rsid w:val="00DD7DE4"/>
    <w:rsid w:val="00DD7EDB"/>
    <w:rsid w:val="00DD7F40"/>
    <w:rsid w:val="00DE0521"/>
    <w:rsid w:val="00DE05FC"/>
    <w:rsid w:val="00DE0D77"/>
    <w:rsid w:val="00DE1486"/>
    <w:rsid w:val="00DE192F"/>
    <w:rsid w:val="00DE194B"/>
    <w:rsid w:val="00DE1C63"/>
    <w:rsid w:val="00DE2193"/>
    <w:rsid w:val="00DE21E2"/>
    <w:rsid w:val="00DE23AA"/>
    <w:rsid w:val="00DE244D"/>
    <w:rsid w:val="00DE25A3"/>
    <w:rsid w:val="00DE2802"/>
    <w:rsid w:val="00DE29E2"/>
    <w:rsid w:val="00DE2BF8"/>
    <w:rsid w:val="00DE2D41"/>
    <w:rsid w:val="00DE2F52"/>
    <w:rsid w:val="00DE379F"/>
    <w:rsid w:val="00DE3C73"/>
    <w:rsid w:val="00DE3D9E"/>
    <w:rsid w:val="00DE3F08"/>
    <w:rsid w:val="00DE4465"/>
    <w:rsid w:val="00DE4B94"/>
    <w:rsid w:val="00DE4FB3"/>
    <w:rsid w:val="00DE5486"/>
    <w:rsid w:val="00DE5569"/>
    <w:rsid w:val="00DE5B6C"/>
    <w:rsid w:val="00DE61D9"/>
    <w:rsid w:val="00DE61FB"/>
    <w:rsid w:val="00DE6277"/>
    <w:rsid w:val="00DE6A9E"/>
    <w:rsid w:val="00DE7005"/>
    <w:rsid w:val="00DE7514"/>
    <w:rsid w:val="00DE764C"/>
    <w:rsid w:val="00DE7A3B"/>
    <w:rsid w:val="00DE7BBF"/>
    <w:rsid w:val="00DF0226"/>
    <w:rsid w:val="00DF0777"/>
    <w:rsid w:val="00DF0D2C"/>
    <w:rsid w:val="00DF0E9C"/>
    <w:rsid w:val="00DF11A5"/>
    <w:rsid w:val="00DF11A8"/>
    <w:rsid w:val="00DF1231"/>
    <w:rsid w:val="00DF1AAA"/>
    <w:rsid w:val="00DF1B25"/>
    <w:rsid w:val="00DF1C77"/>
    <w:rsid w:val="00DF1E2C"/>
    <w:rsid w:val="00DF1E2D"/>
    <w:rsid w:val="00DF222C"/>
    <w:rsid w:val="00DF226C"/>
    <w:rsid w:val="00DF2DD9"/>
    <w:rsid w:val="00DF2F22"/>
    <w:rsid w:val="00DF3180"/>
    <w:rsid w:val="00DF323C"/>
    <w:rsid w:val="00DF45FF"/>
    <w:rsid w:val="00DF5584"/>
    <w:rsid w:val="00DF58AE"/>
    <w:rsid w:val="00DF6544"/>
    <w:rsid w:val="00DF665F"/>
    <w:rsid w:val="00DF672C"/>
    <w:rsid w:val="00DF691F"/>
    <w:rsid w:val="00DF6B8A"/>
    <w:rsid w:val="00DF6E13"/>
    <w:rsid w:val="00DF71C2"/>
    <w:rsid w:val="00DF729B"/>
    <w:rsid w:val="00DF7621"/>
    <w:rsid w:val="00DF77AE"/>
    <w:rsid w:val="00DF7F90"/>
    <w:rsid w:val="00E00417"/>
    <w:rsid w:val="00E00CBB"/>
    <w:rsid w:val="00E0122D"/>
    <w:rsid w:val="00E01C9B"/>
    <w:rsid w:val="00E02018"/>
    <w:rsid w:val="00E023CA"/>
    <w:rsid w:val="00E02442"/>
    <w:rsid w:val="00E02622"/>
    <w:rsid w:val="00E02B15"/>
    <w:rsid w:val="00E02FE4"/>
    <w:rsid w:val="00E03039"/>
    <w:rsid w:val="00E03594"/>
    <w:rsid w:val="00E035F0"/>
    <w:rsid w:val="00E0362C"/>
    <w:rsid w:val="00E0372D"/>
    <w:rsid w:val="00E0382E"/>
    <w:rsid w:val="00E03D04"/>
    <w:rsid w:val="00E03EEA"/>
    <w:rsid w:val="00E041E1"/>
    <w:rsid w:val="00E0459F"/>
    <w:rsid w:val="00E04B20"/>
    <w:rsid w:val="00E04E14"/>
    <w:rsid w:val="00E05101"/>
    <w:rsid w:val="00E05186"/>
    <w:rsid w:val="00E062B8"/>
    <w:rsid w:val="00E062F3"/>
    <w:rsid w:val="00E06CD3"/>
    <w:rsid w:val="00E06EF0"/>
    <w:rsid w:val="00E0724E"/>
    <w:rsid w:val="00E07571"/>
    <w:rsid w:val="00E0768F"/>
    <w:rsid w:val="00E077A5"/>
    <w:rsid w:val="00E10118"/>
    <w:rsid w:val="00E10427"/>
    <w:rsid w:val="00E10986"/>
    <w:rsid w:val="00E112AA"/>
    <w:rsid w:val="00E1178A"/>
    <w:rsid w:val="00E1236F"/>
    <w:rsid w:val="00E12550"/>
    <w:rsid w:val="00E12648"/>
    <w:rsid w:val="00E12C7E"/>
    <w:rsid w:val="00E12CBA"/>
    <w:rsid w:val="00E13375"/>
    <w:rsid w:val="00E1342A"/>
    <w:rsid w:val="00E13992"/>
    <w:rsid w:val="00E13D5A"/>
    <w:rsid w:val="00E13EB5"/>
    <w:rsid w:val="00E14031"/>
    <w:rsid w:val="00E15870"/>
    <w:rsid w:val="00E15CBE"/>
    <w:rsid w:val="00E16134"/>
    <w:rsid w:val="00E16593"/>
    <w:rsid w:val="00E1659B"/>
    <w:rsid w:val="00E167CD"/>
    <w:rsid w:val="00E167D2"/>
    <w:rsid w:val="00E16C62"/>
    <w:rsid w:val="00E16C66"/>
    <w:rsid w:val="00E16D1E"/>
    <w:rsid w:val="00E174E5"/>
    <w:rsid w:val="00E17581"/>
    <w:rsid w:val="00E178B6"/>
    <w:rsid w:val="00E17F95"/>
    <w:rsid w:val="00E20219"/>
    <w:rsid w:val="00E208E7"/>
    <w:rsid w:val="00E212F8"/>
    <w:rsid w:val="00E21734"/>
    <w:rsid w:val="00E21B05"/>
    <w:rsid w:val="00E21C6B"/>
    <w:rsid w:val="00E2263D"/>
    <w:rsid w:val="00E236CB"/>
    <w:rsid w:val="00E23B5A"/>
    <w:rsid w:val="00E23C47"/>
    <w:rsid w:val="00E23F7C"/>
    <w:rsid w:val="00E23F7D"/>
    <w:rsid w:val="00E248BF"/>
    <w:rsid w:val="00E24A45"/>
    <w:rsid w:val="00E24B75"/>
    <w:rsid w:val="00E24DFA"/>
    <w:rsid w:val="00E25471"/>
    <w:rsid w:val="00E25539"/>
    <w:rsid w:val="00E2586C"/>
    <w:rsid w:val="00E25F87"/>
    <w:rsid w:val="00E261C4"/>
    <w:rsid w:val="00E2663B"/>
    <w:rsid w:val="00E2682E"/>
    <w:rsid w:val="00E27069"/>
    <w:rsid w:val="00E27413"/>
    <w:rsid w:val="00E274FC"/>
    <w:rsid w:val="00E27B3B"/>
    <w:rsid w:val="00E27DC0"/>
    <w:rsid w:val="00E3016D"/>
    <w:rsid w:val="00E301B0"/>
    <w:rsid w:val="00E30237"/>
    <w:rsid w:val="00E3051E"/>
    <w:rsid w:val="00E30671"/>
    <w:rsid w:val="00E3067F"/>
    <w:rsid w:val="00E307EC"/>
    <w:rsid w:val="00E3082B"/>
    <w:rsid w:val="00E30A53"/>
    <w:rsid w:val="00E30B4A"/>
    <w:rsid w:val="00E3146A"/>
    <w:rsid w:val="00E31667"/>
    <w:rsid w:val="00E317AF"/>
    <w:rsid w:val="00E319BE"/>
    <w:rsid w:val="00E32942"/>
    <w:rsid w:val="00E32ACB"/>
    <w:rsid w:val="00E32B53"/>
    <w:rsid w:val="00E32B9F"/>
    <w:rsid w:val="00E32E4A"/>
    <w:rsid w:val="00E331A0"/>
    <w:rsid w:val="00E33249"/>
    <w:rsid w:val="00E33DFC"/>
    <w:rsid w:val="00E3420A"/>
    <w:rsid w:val="00E34570"/>
    <w:rsid w:val="00E34970"/>
    <w:rsid w:val="00E3543A"/>
    <w:rsid w:val="00E35632"/>
    <w:rsid w:val="00E35702"/>
    <w:rsid w:val="00E35910"/>
    <w:rsid w:val="00E3684C"/>
    <w:rsid w:val="00E369E5"/>
    <w:rsid w:val="00E36B67"/>
    <w:rsid w:val="00E37865"/>
    <w:rsid w:val="00E37D2F"/>
    <w:rsid w:val="00E37DD4"/>
    <w:rsid w:val="00E37FA5"/>
    <w:rsid w:val="00E409B1"/>
    <w:rsid w:val="00E40A22"/>
    <w:rsid w:val="00E40CDB"/>
    <w:rsid w:val="00E40D76"/>
    <w:rsid w:val="00E40F90"/>
    <w:rsid w:val="00E41006"/>
    <w:rsid w:val="00E416FB"/>
    <w:rsid w:val="00E4179F"/>
    <w:rsid w:val="00E41874"/>
    <w:rsid w:val="00E41B3B"/>
    <w:rsid w:val="00E41B8B"/>
    <w:rsid w:val="00E41CBD"/>
    <w:rsid w:val="00E41D47"/>
    <w:rsid w:val="00E41E50"/>
    <w:rsid w:val="00E4211F"/>
    <w:rsid w:val="00E423AA"/>
    <w:rsid w:val="00E4268E"/>
    <w:rsid w:val="00E4278A"/>
    <w:rsid w:val="00E4297E"/>
    <w:rsid w:val="00E42D6E"/>
    <w:rsid w:val="00E432BB"/>
    <w:rsid w:val="00E435F3"/>
    <w:rsid w:val="00E43CE7"/>
    <w:rsid w:val="00E43F76"/>
    <w:rsid w:val="00E4402E"/>
    <w:rsid w:val="00E441D6"/>
    <w:rsid w:val="00E4439B"/>
    <w:rsid w:val="00E448FE"/>
    <w:rsid w:val="00E44CC8"/>
    <w:rsid w:val="00E452C6"/>
    <w:rsid w:val="00E45431"/>
    <w:rsid w:val="00E45E27"/>
    <w:rsid w:val="00E46699"/>
    <w:rsid w:val="00E46B3F"/>
    <w:rsid w:val="00E46B8B"/>
    <w:rsid w:val="00E46D28"/>
    <w:rsid w:val="00E46FE2"/>
    <w:rsid w:val="00E479CE"/>
    <w:rsid w:val="00E47EE5"/>
    <w:rsid w:val="00E50311"/>
    <w:rsid w:val="00E503F7"/>
    <w:rsid w:val="00E50726"/>
    <w:rsid w:val="00E50BEE"/>
    <w:rsid w:val="00E5112B"/>
    <w:rsid w:val="00E51199"/>
    <w:rsid w:val="00E5121C"/>
    <w:rsid w:val="00E51307"/>
    <w:rsid w:val="00E5131B"/>
    <w:rsid w:val="00E513AA"/>
    <w:rsid w:val="00E519EF"/>
    <w:rsid w:val="00E51AFA"/>
    <w:rsid w:val="00E51C3E"/>
    <w:rsid w:val="00E52333"/>
    <w:rsid w:val="00E526FC"/>
    <w:rsid w:val="00E52B0A"/>
    <w:rsid w:val="00E53CED"/>
    <w:rsid w:val="00E53D1C"/>
    <w:rsid w:val="00E53F97"/>
    <w:rsid w:val="00E5415A"/>
    <w:rsid w:val="00E5416E"/>
    <w:rsid w:val="00E545BB"/>
    <w:rsid w:val="00E5491D"/>
    <w:rsid w:val="00E54B7C"/>
    <w:rsid w:val="00E54EB8"/>
    <w:rsid w:val="00E55095"/>
    <w:rsid w:val="00E55118"/>
    <w:rsid w:val="00E5515A"/>
    <w:rsid w:val="00E559BC"/>
    <w:rsid w:val="00E559E9"/>
    <w:rsid w:val="00E55FF1"/>
    <w:rsid w:val="00E56147"/>
    <w:rsid w:val="00E561F8"/>
    <w:rsid w:val="00E562D7"/>
    <w:rsid w:val="00E5674C"/>
    <w:rsid w:val="00E56ACD"/>
    <w:rsid w:val="00E57C72"/>
    <w:rsid w:val="00E57DBE"/>
    <w:rsid w:val="00E6052D"/>
    <w:rsid w:val="00E6090F"/>
    <w:rsid w:val="00E60C70"/>
    <w:rsid w:val="00E60C9B"/>
    <w:rsid w:val="00E60E5F"/>
    <w:rsid w:val="00E61579"/>
    <w:rsid w:val="00E616FA"/>
    <w:rsid w:val="00E6175A"/>
    <w:rsid w:val="00E61B63"/>
    <w:rsid w:val="00E61C75"/>
    <w:rsid w:val="00E61FFD"/>
    <w:rsid w:val="00E62260"/>
    <w:rsid w:val="00E622AC"/>
    <w:rsid w:val="00E623BB"/>
    <w:rsid w:val="00E6248C"/>
    <w:rsid w:val="00E625C4"/>
    <w:rsid w:val="00E62695"/>
    <w:rsid w:val="00E628BE"/>
    <w:rsid w:val="00E62E60"/>
    <w:rsid w:val="00E63003"/>
    <w:rsid w:val="00E63291"/>
    <w:rsid w:val="00E63453"/>
    <w:rsid w:val="00E63531"/>
    <w:rsid w:val="00E637F5"/>
    <w:rsid w:val="00E643F6"/>
    <w:rsid w:val="00E6485F"/>
    <w:rsid w:val="00E64D7D"/>
    <w:rsid w:val="00E658BA"/>
    <w:rsid w:val="00E658D5"/>
    <w:rsid w:val="00E6629E"/>
    <w:rsid w:val="00E663EC"/>
    <w:rsid w:val="00E66692"/>
    <w:rsid w:val="00E669E2"/>
    <w:rsid w:val="00E66A93"/>
    <w:rsid w:val="00E66C59"/>
    <w:rsid w:val="00E66C87"/>
    <w:rsid w:val="00E66C97"/>
    <w:rsid w:val="00E6732B"/>
    <w:rsid w:val="00E6747A"/>
    <w:rsid w:val="00E675F0"/>
    <w:rsid w:val="00E67AA5"/>
    <w:rsid w:val="00E67EC4"/>
    <w:rsid w:val="00E70172"/>
    <w:rsid w:val="00E7024F"/>
    <w:rsid w:val="00E704A8"/>
    <w:rsid w:val="00E7055A"/>
    <w:rsid w:val="00E70C16"/>
    <w:rsid w:val="00E70CD1"/>
    <w:rsid w:val="00E70EDF"/>
    <w:rsid w:val="00E71C2F"/>
    <w:rsid w:val="00E71F50"/>
    <w:rsid w:val="00E72DCF"/>
    <w:rsid w:val="00E72FFA"/>
    <w:rsid w:val="00E732B2"/>
    <w:rsid w:val="00E736BF"/>
    <w:rsid w:val="00E737BC"/>
    <w:rsid w:val="00E73860"/>
    <w:rsid w:val="00E73A3E"/>
    <w:rsid w:val="00E73C6A"/>
    <w:rsid w:val="00E73CD6"/>
    <w:rsid w:val="00E73F84"/>
    <w:rsid w:val="00E74454"/>
    <w:rsid w:val="00E7449E"/>
    <w:rsid w:val="00E74581"/>
    <w:rsid w:val="00E7479F"/>
    <w:rsid w:val="00E74829"/>
    <w:rsid w:val="00E74A32"/>
    <w:rsid w:val="00E74BC6"/>
    <w:rsid w:val="00E74D6E"/>
    <w:rsid w:val="00E751BF"/>
    <w:rsid w:val="00E75313"/>
    <w:rsid w:val="00E7533A"/>
    <w:rsid w:val="00E75344"/>
    <w:rsid w:val="00E753EA"/>
    <w:rsid w:val="00E754F4"/>
    <w:rsid w:val="00E7560D"/>
    <w:rsid w:val="00E75760"/>
    <w:rsid w:val="00E75A67"/>
    <w:rsid w:val="00E75D63"/>
    <w:rsid w:val="00E7634F"/>
    <w:rsid w:val="00E765A6"/>
    <w:rsid w:val="00E76611"/>
    <w:rsid w:val="00E7663F"/>
    <w:rsid w:val="00E76D35"/>
    <w:rsid w:val="00E76E0F"/>
    <w:rsid w:val="00E76EA5"/>
    <w:rsid w:val="00E7712C"/>
    <w:rsid w:val="00E77415"/>
    <w:rsid w:val="00E77446"/>
    <w:rsid w:val="00E776FF"/>
    <w:rsid w:val="00E777AC"/>
    <w:rsid w:val="00E77DEC"/>
    <w:rsid w:val="00E77E56"/>
    <w:rsid w:val="00E80031"/>
    <w:rsid w:val="00E80118"/>
    <w:rsid w:val="00E80254"/>
    <w:rsid w:val="00E80404"/>
    <w:rsid w:val="00E804AE"/>
    <w:rsid w:val="00E804BC"/>
    <w:rsid w:val="00E80BE5"/>
    <w:rsid w:val="00E80CA4"/>
    <w:rsid w:val="00E81042"/>
    <w:rsid w:val="00E81888"/>
    <w:rsid w:val="00E819B1"/>
    <w:rsid w:val="00E81DDB"/>
    <w:rsid w:val="00E82063"/>
    <w:rsid w:val="00E822E6"/>
    <w:rsid w:val="00E8281E"/>
    <w:rsid w:val="00E82879"/>
    <w:rsid w:val="00E82DA3"/>
    <w:rsid w:val="00E82EB2"/>
    <w:rsid w:val="00E83386"/>
    <w:rsid w:val="00E83730"/>
    <w:rsid w:val="00E83A57"/>
    <w:rsid w:val="00E83B5D"/>
    <w:rsid w:val="00E83EE2"/>
    <w:rsid w:val="00E83F79"/>
    <w:rsid w:val="00E84B13"/>
    <w:rsid w:val="00E85319"/>
    <w:rsid w:val="00E8576F"/>
    <w:rsid w:val="00E85D6A"/>
    <w:rsid w:val="00E85DCA"/>
    <w:rsid w:val="00E85F0E"/>
    <w:rsid w:val="00E85FB3"/>
    <w:rsid w:val="00E8631E"/>
    <w:rsid w:val="00E869E3"/>
    <w:rsid w:val="00E869F0"/>
    <w:rsid w:val="00E86BE9"/>
    <w:rsid w:val="00E86E22"/>
    <w:rsid w:val="00E86FBD"/>
    <w:rsid w:val="00E871D6"/>
    <w:rsid w:val="00E87210"/>
    <w:rsid w:val="00E87591"/>
    <w:rsid w:val="00E876D2"/>
    <w:rsid w:val="00E87911"/>
    <w:rsid w:val="00E8798F"/>
    <w:rsid w:val="00E87BB8"/>
    <w:rsid w:val="00E87EB6"/>
    <w:rsid w:val="00E900B0"/>
    <w:rsid w:val="00E9030F"/>
    <w:rsid w:val="00E90AB5"/>
    <w:rsid w:val="00E9122D"/>
    <w:rsid w:val="00E91D56"/>
    <w:rsid w:val="00E91FBF"/>
    <w:rsid w:val="00E92139"/>
    <w:rsid w:val="00E925DF"/>
    <w:rsid w:val="00E936E0"/>
    <w:rsid w:val="00E93704"/>
    <w:rsid w:val="00E9385D"/>
    <w:rsid w:val="00E93E4E"/>
    <w:rsid w:val="00E941E8"/>
    <w:rsid w:val="00E941F6"/>
    <w:rsid w:val="00E9428D"/>
    <w:rsid w:val="00E94A4D"/>
    <w:rsid w:val="00E94B45"/>
    <w:rsid w:val="00E94F58"/>
    <w:rsid w:val="00E94F71"/>
    <w:rsid w:val="00E953A8"/>
    <w:rsid w:val="00E958C1"/>
    <w:rsid w:val="00E9591E"/>
    <w:rsid w:val="00E95AAE"/>
    <w:rsid w:val="00E95CFB"/>
    <w:rsid w:val="00E96553"/>
    <w:rsid w:val="00E96678"/>
    <w:rsid w:val="00E96CBB"/>
    <w:rsid w:val="00E96D41"/>
    <w:rsid w:val="00E96F92"/>
    <w:rsid w:val="00E9743A"/>
    <w:rsid w:val="00E97642"/>
    <w:rsid w:val="00E97A05"/>
    <w:rsid w:val="00E97CC8"/>
    <w:rsid w:val="00E97FDB"/>
    <w:rsid w:val="00EA026B"/>
    <w:rsid w:val="00EA05AA"/>
    <w:rsid w:val="00EA0ACE"/>
    <w:rsid w:val="00EA0B8E"/>
    <w:rsid w:val="00EA0D69"/>
    <w:rsid w:val="00EA1DAB"/>
    <w:rsid w:val="00EA1F97"/>
    <w:rsid w:val="00EA2119"/>
    <w:rsid w:val="00EA2151"/>
    <w:rsid w:val="00EA2513"/>
    <w:rsid w:val="00EA2644"/>
    <w:rsid w:val="00EA2FEE"/>
    <w:rsid w:val="00EA304E"/>
    <w:rsid w:val="00EA3288"/>
    <w:rsid w:val="00EA32DF"/>
    <w:rsid w:val="00EA3573"/>
    <w:rsid w:val="00EA396E"/>
    <w:rsid w:val="00EA3C8D"/>
    <w:rsid w:val="00EA3CC2"/>
    <w:rsid w:val="00EA41B9"/>
    <w:rsid w:val="00EA41DC"/>
    <w:rsid w:val="00EA430D"/>
    <w:rsid w:val="00EA43CF"/>
    <w:rsid w:val="00EA471E"/>
    <w:rsid w:val="00EA4AB4"/>
    <w:rsid w:val="00EA4BAD"/>
    <w:rsid w:val="00EA51CD"/>
    <w:rsid w:val="00EA51F9"/>
    <w:rsid w:val="00EA52BC"/>
    <w:rsid w:val="00EA52E1"/>
    <w:rsid w:val="00EA5429"/>
    <w:rsid w:val="00EA547F"/>
    <w:rsid w:val="00EA55E5"/>
    <w:rsid w:val="00EA5722"/>
    <w:rsid w:val="00EA58F4"/>
    <w:rsid w:val="00EA5935"/>
    <w:rsid w:val="00EA5E13"/>
    <w:rsid w:val="00EA62FF"/>
    <w:rsid w:val="00EA691D"/>
    <w:rsid w:val="00EA6A0D"/>
    <w:rsid w:val="00EA6A34"/>
    <w:rsid w:val="00EA6B22"/>
    <w:rsid w:val="00EA6B65"/>
    <w:rsid w:val="00EA6BD1"/>
    <w:rsid w:val="00EA6DAA"/>
    <w:rsid w:val="00EA70A9"/>
    <w:rsid w:val="00EA7588"/>
    <w:rsid w:val="00EA78E4"/>
    <w:rsid w:val="00EA7A77"/>
    <w:rsid w:val="00EA7C3F"/>
    <w:rsid w:val="00EB0008"/>
    <w:rsid w:val="00EB0289"/>
    <w:rsid w:val="00EB067B"/>
    <w:rsid w:val="00EB0B29"/>
    <w:rsid w:val="00EB0C0E"/>
    <w:rsid w:val="00EB0D8C"/>
    <w:rsid w:val="00EB0E3D"/>
    <w:rsid w:val="00EB1052"/>
    <w:rsid w:val="00EB121D"/>
    <w:rsid w:val="00EB1851"/>
    <w:rsid w:val="00EB1940"/>
    <w:rsid w:val="00EB1CA6"/>
    <w:rsid w:val="00EB1E75"/>
    <w:rsid w:val="00EB1F0A"/>
    <w:rsid w:val="00EB225F"/>
    <w:rsid w:val="00EB2AB3"/>
    <w:rsid w:val="00EB2E6F"/>
    <w:rsid w:val="00EB30F0"/>
    <w:rsid w:val="00EB3158"/>
    <w:rsid w:val="00EB36DC"/>
    <w:rsid w:val="00EB37E3"/>
    <w:rsid w:val="00EB3AF2"/>
    <w:rsid w:val="00EB5404"/>
    <w:rsid w:val="00EB57FC"/>
    <w:rsid w:val="00EB5C6A"/>
    <w:rsid w:val="00EB5DBF"/>
    <w:rsid w:val="00EB5EDE"/>
    <w:rsid w:val="00EB6022"/>
    <w:rsid w:val="00EB65F6"/>
    <w:rsid w:val="00EB6BF5"/>
    <w:rsid w:val="00EB7033"/>
    <w:rsid w:val="00EB71A5"/>
    <w:rsid w:val="00EB7A34"/>
    <w:rsid w:val="00EC0085"/>
    <w:rsid w:val="00EC046B"/>
    <w:rsid w:val="00EC0506"/>
    <w:rsid w:val="00EC09D0"/>
    <w:rsid w:val="00EC0FA2"/>
    <w:rsid w:val="00EC1948"/>
    <w:rsid w:val="00EC1D6B"/>
    <w:rsid w:val="00EC1E29"/>
    <w:rsid w:val="00EC2572"/>
    <w:rsid w:val="00EC2B39"/>
    <w:rsid w:val="00EC3049"/>
    <w:rsid w:val="00EC3209"/>
    <w:rsid w:val="00EC37A2"/>
    <w:rsid w:val="00EC3A84"/>
    <w:rsid w:val="00EC3AB3"/>
    <w:rsid w:val="00EC401C"/>
    <w:rsid w:val="00EC406D"/>
    <w:rsid w:val="00EC430F"/>
    <w:rsid w:val="00EC43D6"/>
    <w:rsid w:val="00EC47F2"/>
    <w:rsid w:val="00EC4980"/>
    <w:rsid w:val="00EC498A"/>
    <w:rsid w:val="00EC52F9"/>
    <w:rsid w:val="00EC5309"/>
    <w:rsid w:val="00EC5363"/>
    <w:rsid w:val="00EC53EF"/>
    <w:rsid w:val="00EC54CB"/>
    <w:rsid w:val="00EC54E6"/>
    <w:rsid w:val="00EC553C"/>
    <w:rsid w:val="00EC574B"/>
    <w:rsid w:val="00EC5A8E"/>
    <w:rsid w:val="00EC5B67"/>
    <w:rsid w:val="00EC6225"/>
    <w:rsid w:val="00EC6307"/>
    <w:rsid w:val="00EC6349"/>
    <w:rsid w:val="00EC654D"/>
    <w:rsid w:val="00EC6718"/>
    <w:rsid w:val="00EC696C"/>
    <w:rsid w:val="00EC69D1"/>
    <w:rsid w:val="00EC6F20"/>
    <w:rsid w:val="00EC7241"/>
    <w:rsid w:val="00EC748F"/>
    <w:rsid w:val="00EC764A"/>
    <w:rsid w:val="00EC79AF"/>
    <w:rsid w:val="00EC7AF5"/>
    <w:rsid w:val="00EC7B25"/>
    <w:rsid w:val="00ED05A4"/>
    <w:rsid w:val="00ED0613"/>
    <w:rsid w:val="00ED06FC"/>
    <w:rsid w:val="00ED0BA1"/>
    <w:rsid w:val="00ED0CAC"/>
    <w:rsid w:val="00ED15F6"/>
    <w:rsid w:val="00ED1694"/>
    <w:rsid w:val="00ED17F2"/>
    <w:rsid w:val="00ED1A13"/>
    <w:rsid w:val="00ED1AFD"/>
    <w:rsid w:val="00ED21EB"/>
    <w:rsid w:val="00ED2632"/>
    <w:rsid w:val="00ED2857"/>
    <w:rsid w:val="00ED2BB0"/>
    <w:rsid w:val="00ED2C2B"/>
    <w:rsid w:val="00ED399C"/>
    <w:rsid w:val="00ED4047"/>
    <w:rsid w:val="00ED40ED"/>
    <w:rsid w:val="00ED410E"/>
    <w:rsid w:val="00ED4241"/>
    <w:rsid w:val="00ED4D9C"/>
    <w:rsid w:val="00ED5E9B"/>
    <w:rsid w:val="00ED5F74"/>
    <w:rsid w:val="00ED629A"/>
    <w:rsid w:val="00ED685B"/>
    <w:rsid w:val="00ED6A96"/>
    <w:rsid w:val="00ED6CBC"/>
    <w:rsid w:val="00ED7352"/>
    <w:rsid w:val="00ED77F5"/>
    <w:rsid w:val="00ED7925"/>
    <w:rsid w:val="00ED7A46"/>
    <w:rsid w:val="00ED7C9D"/>
    <w:rsid w:val="00ED7CE1"/>
    <w:rsid w:val="00EE001B"/>
    <w:rsid w:val="00EE012F"/>
    <w:rsid w:val="00EE0392"/>
    <w:rsid w:val="00EE05E3"/>
    <w:rsid w:val="00EE06FA"/>
    <w:rsid w:val="00EE08C1"/>
    <w:rsid w:val="00EE111F"/>
    <w:rsid w:val="00EE1137"/>
    <w:rsid w:val="00EE11C1"/>
    <w:rsid w:val="00EE1321"/>
    <w:rsid w:val="00EE1336"/>
    <w:rsid w:val="00EE14E0"/>
    <w:rsid w:val="00EE1747"/>
    <w:rsid w:val="00EE1B97"/>
    <w:rsid w:val="00EE2240"/>
    <w:rsid w:val="00EE266E"/>
    <w:rsid w:val="00EE2692"/>
    <w:rsid w:val="00EE27B6"/>
    <w:rsid w:val="00EE291C"/>
    <w:rsid w:val="00EE291F"/>
    <w:rsid w:val="00EE295A"/>
    <w:rsid w:val="00EE2DAD"/>
    <w:rsid w:val="00EE2F43"/>
    <w:rsid w:val="00EE361C"/>
    <w:rsid w:val="00EE3BD0"/>
    <w:rsid w:val="00EE3D0D"/>
    <w:rsid w:val="00EE4084"/>
    <w:rsid w:val="00EE416A"/>
    <w:rsid w:val="00EE41C5"/>
    <w:rsid w:val="00EE4822"/>
    <w:rsid w:val="00EE489A"/>
    <w:rsid w:val="00EE4AA3"/>
    <w:rsid w:val="00EE513A"/>
    <w:rsid w:val="00EE5162"/>
    <w:rsid w:val="00EE51E5"/>
    <w:rsid w:val="00EE5270"/>
    <w:rsid w:val="00EE55DC"/>
    <w:rsid w:val="00EE5AD9"/>
    <w:rsid w:val="00EE60EA"/>
    <w:rsid w:val="00EE624F"/>
    <w:rsid w:val="00EE6806"/>
    <w:rsid w:val="00EE69B2"/>
    <w:rsid w:val="00EE69B5"/>
    <w:rsid w:val="00EE6A73"/>
    <w:rsid w:val="00EE7273"/>
    <w:rsid w:val="00EE72F8"/>
    <w:rsid w:val="00EE748B"/>
    <w:rsid w:val="00EE7915"/>
    <w:rsid w:val="00EE7B52"/>
    <w:rsid w:val="00EE7D9A"/>
    <w:rsid w:val="00EE7FD3"/>
    <w:rsid w:val="00EF0023"/>
    <w:rsid w:val="00EF0340"/>
    <w:rsid w:val="00EF0841"/>
    <w:rsid w:val="00EF084F"/>
    <w:rsid w:val="00EF086A"/>
    <w:rsid w:val="00EF0C94"/>
    <w:rsid w:val="00EF0DE7"/>
    <w:rsid w:val="00EF0F89"/>
    <w:rsid w:val="00EF2386"/>
    <w:rsid w:val="00EF25E2"/>
    <w:rsid w:val="00EF25FE"/>
    <w:rsid w:val="00EF264D"/>
    <w:rsid w:val="00EF27DA"/>
    <w:rsid w:val="00EF2A0F"/>
    <w:rsid w:val="00EF2A53"/>
    <w:rsid w:val="00EF2C6A"/>
    <w:rsid w:val="00EF2E1C"/>
    <w:rsid w:val="00EF2F24"/>
    <w:rsid w:val="00EF2FC1"/>
    <w:rsid w:val="00EF34B2"/>
    <w:rsid w:val="00EF3689"/>
    <w:rsid w:val="00EF3779"/>
    <w:rsid w:val="00EF37C3"/>
    <w:rsid w:val="00EF3B68"/>
    <w:rsid w:val="00EF3C76"/>
    <w:rsid w:val="00EF3D30"/>
    <w:rsid w:val="00EF401C"/>
    <w:rsid w:val="00EF452F"/>
    <w:rsid w:val="00EF49E8"/>
    <w:rsid w:val="00EF4AFB"/>
    <w:rsid w:val="00EF4CF4"/>
    <w:rsid w:val="00EF5158"/>
    <w:rsid w:val="00EF5242"/>
    <w:rsid w:val="00EF542F"/>
    <w:rsid w:val="00EF54D2"/>
    <w:rsid w:val="00EF54D9"/>
    <w:rsid w:val="00EF54E8"/>
    <w:rsid w:val="00EF555B"/>
    <w:rsid w:val="00EF69F4"/>
    <w:rsid w:val="00EF6BB9"/>
    <w:rsid w:val="00EF6EA1"/>
    <w:rsid w:val="00EF734C"/>
    <w:rsid w:val="00EF7899"/>
    <w:rsid w:val="00EF78E6"/>
    <w:rsid w:val="00EF7A23"/>
    <w:rsid w:val="00EF7D67"/>
    <w:rsid w:val="00F0012A"/>
    <w:rsid w:val="00F001AA"/>
    <w:rsid w:val="00F006D3"/>
    <w:rsid w:val="00F0089C"/>
    <w:rsid w:val="00F00BB9"/>
    <w:rsid w:val="00F00F67"/>
    <w:rsid w:val="00F00FBB"/>
    <w:rsid w:val="00F014EA"/>
    <w:rsid w:val="00F015C7"/>
    <w:rsid w:val="00F0184F"/>
    <w:rsid w:val="00F01B3B"/>
    <w:rsid w:val="00F01B92"/>
    <w:rsid w:val="00F01D34"/>
    <w:rsid w:val="00F02203"/>
    <w:rsid w:val="00F0220A"/>
    <w:rsid w:val="00F025D0"/>
    <w:rsid w:val="00F02906"/>
    <w:rsid w:val="00F02AB3"/>
    <w:rsid w:val="00F03566"/>
    <w:rsid w:val="00F036AE"/>
    <w:rsid w:val="00F039B8"/>
    <w:rsid w:val="00F03C11"/>
    <w:rsid w:val="00F03DD8"/>
    <w:rsid w:val="00F0401A"/>
    <w:rsid w:val="00F040E6"/>
    <w:rsid w:val="00F041B8"/>
    <w:rsid w:val="00F0421E"/>
    <w:rsid w:val="00F0445C"/>
    <w:rsid w:val="00F04795"/>
    <w:rsid w:val="00F04E6A"/>
    <w:rsid w:val="00F05783"/>
    <w:rsid w:val="00F058B0"/>
    <w:rsid w:val="00F05B5C"/>
    <w:rsid w:val="00F05CF7"/>
    <w:rsid w:val="00F05D62"/>
    <w:rsid w:val="00F0646C"/>
    <w:rsid w:val="00F06710"/>
    <w:rsid w:val="00F0696E"/>
    <w:rsid w:val="00F070AD"/>
    <w:rsid w:val="00F073CF"/>
    <w:rsid w:val="00F07612"/>
    <w:rsid w:val="00F07E8B"/>
    <w:rsid w:val="00F109A3"/>
    <w:rsid w:val="00F10C3E"/>
    <w:rsid w:val="00F10D54"/>
    <w:rsid w:val="00F10D57"/>
    <w:rsid w:val="00F1116F"/>
    <w:rsid w:val="00F117F6"/>
    <w:rsid w:val="00F11929"/>
    <w:rsid w:val="00F123DA"/>
    <w:rsid w:val="00F12554"/>
    <w:rsid w:val="00F12B24"/>
    <w:rsid w:val="00F1332B"/>
    <w:rsid w:val="00F1337D"/>
    <w:rsid w:val="00F1361E"/>
    <w:rsid w:val="00F13AAD"/>
    <w:rsid w:val="00F13BFF"/>
    <w:rsid w:val="00F1414F"/>
    <w:rsid w:val="00F14300"/>
    <w:rsid w:val="00F144BA"/>
    <w:rsid w:val="00F1538F"/>
    <w:rsid w:val="00F156E6"/>
    <w:rsid w:val="00F15738"/>
    <w:rsid w:val="00F15B03"/>
    <w:rsid w:val="00F15BE6"/>
    <w:rsid w:val="00F15C95"/>
    <w:rsid w:val="00F15D3B"/>
    <w:rsid w:val="00F15F74"/>
    <w:rsid w:val="00F162EF"/>
    <w:rsid w:val="00F16426"/>
    <w:rsid w:val="00F16657"/>
    <w:rsid w:val="00F16766"/>
    <w:rsid w:val="00F168D7"/>
    <w:rsid w:val="00F16C00"/>
    <w:rsid w:val="00F16D09"/>
    <w:rsid w:val="00F173F6"/>
    <w:rsid w:val="00F1774E"/>
    <w:rsid w:val="00F179C5"/>
    <w:rsid w:val="00F17CFF"/>
    <w:rsid w:val="00F202BC"/>
    <w:rsid w:val="00F204CF"/>
    <w:rsid w:val="00F206CE"/>
    <w:rsid w:val="00F208EA"/>
    <w:rsid w:val="00F20D84"/>
    <w:rsid w:val="00F21501"/>
    <w:rsid w:val="00F215CE"/>
    <w:rsid w:val="00F217EC"/>
    <w:rsid w:val="00F21CE6"/>
    <w:rsid w:val="00F22656"/>
    <w:rsid w:val="00F22702"/>
    <w:rsid w:val="00F22AAA"/>
    <w:rsid w:val="00F22AEC"/>
    <w:rsid w:val="00F230F0"/>
    <w:rsid w:val="00F2341F"/>
    <w:rsid w:val="00F2354E"/>
    <w:rsid w:val="00F2376A"/>
    <w:rsid w:val="00F239AD"/>
    <w:rsid w:val="00F23C85"/>
    <w:rsid w:val="00F23CD8"/>
    <w:rsid w:val="00F24172"/>
    <w:rsid w:val="00F242C7"/>
    <w:rsid w:val="00F24539"/>
    <w:rsid w:val="00F2454A"/>
    <w:rsid w:val="00F24BDA"/>
    <w:rsid w:val="00F24D38"/>
    <w:rsid w:val="00F24F03"/>
    <w:rsid w:val="00F24FE0"/>
    <w:rsid w:val="00F25010"/>
    <w:rsid w:val="00F25027"/>
    <w:rsid w:val="00F2508A"/>
    <w:rsid w:val="00F258DE"/>
    <w:rsid w:val="00F2596A"/>
    <w:rsid w:val="00F25D35"/>
    <w:rsid w:val="00F25FE7"/>
    <w:rsid w:val="00F26181"/>
    <w:rsid w:val="00F26369"/>
    <w:rsid w:val="00F264B3"/>
    <w:rsid w:val="00F265A0"/>
    <w:rsid w:val="00F26A6C"/>
    <w:rsid w:val="00F26CD1"/>
    <w:rsid w:val="00F26D18"/>
    <w:rsid w:val="00F26E1C"/>
    <w:rsid w:val="00F27631"/>
    <w:rsid w:val="00F276C4"/>
    <w:rsid w:val="00F27DE5"/>
    <w:rsid w:val="00F30D6C"/>
    <w:rsid w:val="00F31439"/>
    <w:rsid w:val="00F317BE"/>
    <w:rsid w:val="00F31C79"/>
    <w:rsid w:val="00F31D46"/>
    <w:rsid w:val="00F32084"/>
    <w:rsid w:val="00F32619"/>
    <w:rsid w:val="00F32B12"/>
    <w:rsid w:val="00F32FB0"/>
    <w:rsid w:val="00F32FB4"/>
    <w:rsid w:val="00F32FC3"/>
    <w:rsid w:val="00F330C2"/>
    <w:rsid w:val="00F3378C"/>
    <w:rsid w:val="00F33EF1"/>
    <w:rsid w:val="00F34360"/>
    <w:rsid w:val="00F34367"/>
    <w:rsid w:val="00F3438C"/>
    <w:rsid w:val="00F3462C"/>
    <w:rsid w:val="00F348E8"/>
    <w:rsid w:val="00F34B9E"/>
    <w:rsid w:val="00F34BAA"/>
    <w:rsid w:val="00F34D4B"/>
    <w:rsid w:val="00F34FFD"/>
    <w:rsid w:val="00F350D4"/>
    <w:rsid w:val="00F3510F"/>
    <w:rsid w:val="00F3569D"/>
    <w:rsid w:val="00F35989"/>
    <w:rsid w:val="00F361E9"/>
    <w:rsid w:val="00F364A4"/>
    <w:rsid w:val="00F366FB"/>
    <w:rsid w:val="00F36DD8"/>
    <w:rsid w:val="00F36E12"/>
    <w:rsid w:val="00F36EDC"/>
    <w:rsid w:val="00F37230"/>
    <w:rsid w:val="00F37233"/>
    <w:rsid w:val="00F378F9"/>
    <w:rsid w:val="00F37CB1"/>
    <w:rsid w:val="00F37DC6"/>
    <w:rsid w:val="00F37F78"/>
    <w:rsid w:val="00F37FB8"/>
    <w:rsid w:val="00F40423"/>
    <w:rsid w:val="00F4066E"/>
    <w:rsid w:val="00F4067D"/>
    <w:rsid w:val="00F40D2F"/>
    <w:rsid w:val="00F41025"/>
    <w:rsid w:val="00F41072"/>
    <w:rsid w:val="00F410D5"/>
    <w:rsid w:val="00F416D8"/>
    <w:rsid w:val="00F4196E"/>
    <w:rsid w:val="00F41CBF"/>
    <w:rsid w:val="00F41F05"/>
    <w:rsid w:val="00F42368"/>
    <w:rsid w:val="00F4281F"/>
    <w:rsid w:val="00F42D1F"/>
    <w:rsid w:val="00F43671"/>
    <w:rsid w:val="00F43A94"/>
    <w:rsid w:val="00F44136"/>
    <w:rsid w:val="00F443D7"/>
    <w:rsid w:val="00F44D59"/>
    <w:rsid w:val="00F451C1"/>
    <w:rsid w:val="00F466AA"/>
    <w:rsid w:val="00F46E8C"/>
    <w:rsid w:val="00F4730C"/>
    <w:rsid w:val="00F47378"/>
    <w:rsid w:val="00F47558"/>
    <w:rsid w:val="00F47579"/>
    <w:rsid w:val="00F4786D"/>
    <w:rsid w:val="00F4787F"/>
    <w:rsid w:val="00F479FA"/>
    <w:rsid w:val="00F47D88"/>
    <w:rsid w:val="00F50648"/>
    <w:rsid w:val="00F511EC"/>
    <w:rsid w:val="00F517D8"/>
    <w:rsid w:val="00F517FC"/>
    <w:rsid w:val="00F51A22"/>
    <w:rsid w:val="00F51C6D"/>
    <w:rsid w:val="00F51ED0"/>
    <w:rsid w:val="00F51F6A"/>
    <w:rsid w:val="00F51FBD"/>
    <w:rsid w:val="00F520AB"/>
    <w:rsid w:val="00F52316"/>
    <w:rsid w:val="00F5245C"/>
    <w:rsid w:val="00F52474"/>
    <w:rsid w:val="00F5250B"/>
    <w:rsid w:val="00F528EB"/>
    <w:rsid w:val="00F52C09"/>
    <w:rsid w:val="00F5323E"/>
    <w:rsid w:val="00F53A5E"/>
    <w:rsid w:val="00F53C17"/>
    <w:rsid w:val="00F53EA4"/>
    <w:rsid w:val="00F54173"/>
    <w:rsid w:val="00F5420F"/>
    <w:rsid w:val="00F548E2"/>
    <w:rsid w:val="00F54ED3"/>
    <w:rsid w:val="00F55221"/>
    <w:rsid w:val="00F55365"/>
    <w:rsid w:val="00F55410"/>
    <w:rsid w:val="00F556F6"/>
    <w:rsid w:val="00F557DE"/>
    <w:rsid w:val="00F55844"/>
    <w:rsid w:val="00F559BC"/>
    <w:rsid w:val="00F55F47"/>
    <w:rsid w:val="00F56348"/>
    <w:rsid w:val="00F564B9"/>
    <w:rsid w:val="00F56507"/>
    <w:rsid w:val="00F565B7"/>
    <w:rsid w:val="00F56DBB"/>
    <w:rsid w:val="00F57170"/>
    <w:rsid w:val="00F57419"/>
    <w:rsid w:val="00F57504"/>
    <w:rsid w:val="00F575FF"/>
    <w:rsid w:val="00F5790F"/>
    <w:rsid w:val="00F57E3C"/>
    <w:rsid w:val="00F604D9"/>
    <w:rsid w:val="00F605F8"/>
    <w:rsid w:val="00F607FF"/>
    <w:rsid w:val="00F60A97"/>
    <w:rsid w:val="00F60C01"/>
    <w:rsid w:val="00F60CC9"/>
    <w:rsid w:val="00F60E6E"/>
    <w:rsid w:val="00F612A4"/>
    <w:rsid w:val="00F61D79"/>
    <w:rsid w:val="00F61F46"/>
    <w:rsid w:val="00F62060"/>
    <w:rsid w:val="00F6208A"/>
    <w:rsid w:val="00F6209C"/>
    <w:rsid w:val="00F621FB"/>
    <w:rsid w:val="00F62226"/>
    <w:rsid w:val="00F624A5"/>
    <w:rsid w:val="00F62A05"/>
    <w:rsid w:val="00F62B07"/>
    <w:rsid w:val="00F62B0F"/>
    <w:rsid w:val="00F62CB9"/>
    <w:rsid w:val="00F6366E"/>
    <w:rsid w:val="00F63CF0"/>
    <w:rsid w:val="00F63EB8"/>
    <w:rsid w:val="00F6445B"/>
    <w:rsid w:val="00F644FB"/>
    <w:rsid w:val="00F64BE7"/>
    <w:rsid w:val="00F64C49"/>
    <w:rsid w:val="00F64C7C"/>
    <w:rsid w:val="00F65313"/>
    <w:rsid w:val="00F65437"/>
    <w:rsid w:val="00F65739"/>
    <w:rsid w:val="00F65DC1"/>
    <w:rsid w:val="00F65EA7"/>
    <w:rsid w:val="00F65EDC"/>
    <w:rsid w:val="00F6606B"/>
    <w:rsid w:val="00F66566"/>
    <w:rsid w:val="00F66BBB"/>
    <w:rsid w:val="00F67119"/>
    <w:rsid w:val="00F671BA"/>
    <w:rsid w:val="00F6734D"/>
    <w:rsid w:val="00F70027"/>
    <w:rsid w:val="00F70064"/>
    <w:rsid w:val="00F700CE"/>
    <w:rsid w:val="00F702D1"/>
    <w:rsid w:val="00F7043B"/>
    <w:rsid w:val="00F7043D"/>
    <w:rsid w:val="00F7044A"/>
    <w:rsid w:val="00F70AC9"/>
    <w:rsid w:val="00F70BE1"/>
    <w:rsid w:val="00F70E09"/>
    <w:rsid w:val="00F71121"/>
    <w:rsid w:val="00F71256"/>
    <w:rsid w:val="00F71331"/>
    <w:rsid w:val="00F71359"/>
    <w:rsid w:val="00F71BE1"/>
    <w:rsid w:val="00F72063"/>
    <w:rsid w:val="00F7213A"/>
    <w:rsid w:val="00F72365"/>
    <w:rsid w:val="00F726E5"/>
    <w:rsid w:val="00F72D02"/>
    <w:rsid w:val="00F7381E"/>
    <w:rsid w:val="00F73904"/>
    <w:rsid w:val="00F73C90"/>
    <w:rsid w:val="00F73EDE"/>
    <w:rsid w:val="00F744D2"/>
    <w:rsid w:val="00F745BF"/>
    <w:rsid w:val="00F74816"/>
    <w:rsid w:val="00F74D4C"/>
    <w:rsid w:val="00F750BC"/>
    <w:rsid w:val="00F75218"/>
    <w:rsid w:val="00F7521D"/>
    <w:rsid w:val="00F7593C"/>
    <w:rsid w:val="00F75AA9"/>
    <w:rsid w:val="00F76021"/>
    <w:rsid w:val="00F763A0"/>
    <w:rsid w:val="00F765BB"/>
    <w:rsid w:val="00F769F6"/>
    <w:rsid w:val="00F76A99"/>
    <w:rsid w:val="00F76DB4"/>
    <w:rsid w:val="00F76E61"/>
    <w:rsid w:val="00F76EF7"/>
    <w:rsid w:val="00F770C5"/>
    <w:rsid w:val="00F774F7"/>
    <w:rsid w:val="00F7794E"/>
    <w:rsid w:val="00F77961"/>
    <w:rsid w:val="00F8003A"/>
    <w:rsid w:val="00F8049D"/>
    <w:rsid w:val="00F80576"/>
    <w:rsid w:val="00F80688"/>
    <w:rsid w:val="00F808B3"/>
    <w:rsid w:val="00F80B7B"/>
    <w:rsid w:val="00F8118F"/>
    <w:rsid w:val="00F813FF"/>
    <w:rsid w:val="00F814AC"/>
    <w:rsid w:val="00F814F0"/>
    <w:rsid w:val="00F8150D"/>
    <w:rsid w:val="00F816F1"/>
    <w:rsid w:val="00F8175B"/>
    <w:rsid w:val="00F818E4"/>
    <w:rsid w:val="00F818EE"/>
    <w:rsid w:val="00F81A61"/>
    <w:rsid w:val="00F81B7B"/>
    <w:rsid w:val="00F8206C"/>
    <w:rsid w:val="00F82561"/>
    <w:rsid w:val="00F827ED"/>
    <w:rsid w:val="00F8290A"/>
    <w:rsid w:val="00F82BC7"/>
    <w:rsid w:val="00F82EC1"/>
    <w:rsid w:val="00F835F9"/>
    <w:rsid w:val="00F83989"/>
    <w:rsid w:val="00F83A67"/>
    <w:rsid w:val="00F83B3A"/>
    <w:rsid w:val="00F84190"/>
    <w:rsid w:val="00F84354"/>
    <w:rsid w:val="00F84CA5"/>
    <w:rsid w:val="00F84CC7"/>
    <w:rsid w:val="00F84ED3"/>
    <w:rsid w:val="00F85418"/>
    <w:rsid w:val="00F8558D"/>
    <w:rsid w:val="00F858CE"/>
    <w:rsid w:val="00F85EFE"/>
    <w:rsid w:val="00F86315"/>
    <w:rsid w:val="00F863F3"/>
    <w:rsid w:val="00F864EA"/>
    <w:rsid w:val="00F8655E"/>
    <w:rsid w:val="00F86946"/>
    <w:rsid w:val="00F86E60"/>
    <w:rsid w:val="00F86FDF"/>
    <w:rsid w:val="00F87168"/>
    <w:rsid w:val="00F874A7"/>
    <w:rsid w:val="00F87707"/>
    <w:rsid w:val="00F87E61"/>
    <w:rsid w:val="00F87FCB"/>
    <w:rsid w:val="00F910F4"/>
    <w:rsid w:val="00F916A8"/>
    <w:rsid w:val="00F91A4D"/>
    <w:rsid w:val="00F91B0A"/>
    <w:rsid w:val="00F92646"/>
    <w:rsid w:val="00F92718"/>
    <w:rsid w:val="00F92AEC"/>
    <w:rsid w:val="00F92CD6"/>
    <w:rsid w:val="00F92D39"/>
    <w:rsid w:val="00F92D6C"/>
    <w:rsid w:val="00F935F8"/>
    <w:rsid w:val="00F93ED4"/>
    <w:rsid w:val="00F940E8"/>
    <w:rsid w:val="00F9444F"/>
    <w:rsid w:val="00F947FD"/>
    <w:rsid w:val="00F9496C"/>
    <w:rsid w:val="00F95566"/>
    <w:rsid w:val="00F95627"/>
    <w:rsid w:val="00F958D7"/>
    <w:rsid w:val="00F95E5E"/>
    <w:rsid w:val="00F960E1"/>
    <w:rsid w:val="00F96CC8"/>
    <w:rsid w:val="00F9756B"/>
    <w:rsid w:val="00F977E2"/>
    <w:rsid w:val="00F9798C"/>
    <w:rsid w:val="00F97B6A"/>
    <w:rsid w:val="00F97BCC"/>
    <w:rsid w:val="00F97D6C"/>
    <w:rsid w:val="00FA00D8"/>
    <w:rsid w:val="00FA0127"/>
    <w:rsid w:val="00FA0505"/>
    <w:rsid w:val="00FA05AF"/>
    <w:rsid w:val="00FA0681"/>
    <w:rsid w:val="00FA1370"/>
    <w:rsid w:val="00FA1722"/>
    <w:rsid w:val="00FA1EFE"/>
    <w:rsid w:val="00FA202C"/>
    <w:rsid w:val="00FA223C"/>
    <w:rsid w:val="00FA2AA7"/>
    <w:rsid w:val="00FA2D0C"/>
    <w:rsid w:val="00FA2F3E"/>
    <w:rsid w:val="00FA2FD7"/>
    <w:rsid w:val="00FA3551"/>
    <w:rsid w:val="00FA376B"/>
    <w:rsid w:val="00FA38CA"/>
    <w:rsid w:val="00FA4160"/>
    <w:rsid w:val="00FA41C6"/>
    <w:rsid w:val="00FA48C0"/>
    <w:rsid w:val="00FA49B2"/>
    <w:rsid w:val="00FA4EBD"/>
    <w:rsid w:val="00FA5227"/>
    <w:rsid w:val="00FA5255"/>
    <w:rsid w:val="00FA52C9"/>
    <w:rsid w:val="00FA52CA"/>
    <w:rsid w:val="00FA5D50"/>
    <w:rsid w:val="00FA5E9E"/>
    <w:rsid w:val="00FA5F79"/>
    <w:rsid w:val="00FA6684"/>
    <w:rsid w:val="00FA67D0"/>
    <w:rsid w:val="00FA6F7F"/>
    <w:rsid w:val="00FA72FE"/>
    <w:rsid w:val="00FA73AD"/>
    <w:rsid w:val="00FA7402"/>
    <w:rsid w:val="00FA7652"/>
    <w:rsid w:val="00FA77D9"/>
    <w:rsid w:val="00FA788F"/>
    <w:rsid w:val="00FA7B77"/>
    <w:rsid w:val="00FB0211"/>
    <w:rsid w:val="00FB0B1B"/>
    <w:rsid w:val="00FB0CFA"/>
    <w:rsid w:val="00FB0DF9"/>
    <w:rsid w:val="00FB0E9B"/>
    <w:rsid w:val="00FB12AB"/>
    <w:rsid w:val="00FB1725"/>
    <w:rsid w:val="00FB1EBF"/>
    <w:rsid w:val="00FB2541"/>
    <w:rsid w:val="00FB2625"/>
    <w:rsid w:val="00FB3028"/>
    <w:rsid w:val="00FB304E"/>
    <w:rsid w:val="00FB3401"/>
    <w:rsid w:val="00FB3746"/>
    <w:rsid w:val="00FB4198"/>
    <w:rsid w:val="00FB45ED"/>
    <w:rsid w:val="00FB4838"/>
    <w:rsid w:val="00FB5767"/>
    <w:rsid w:val="00FB5A91"/>
    <w:rsid w:val="00FB5ED9"/>
    <w:rsid w:val="00FB658C"/>
    <w:rsid w:val="00FB673B"/>
    <w:rsid w:val="00FB6888"/>
    <w:rsid w:val="00FB68F7"/>
    <w:rsid w:val="00FB6965"/>
    <w:rsid w:val="00FB6EC7"/>
    <w:rsid w:val="00FB6FE0"/>
    <w:rsid w:val="00FB76A1"/>
    <w:rsid w:val="00FB789A"/>
    <w:rsid w:val="00FB7B5B"/>
    <w:rsid w:val="00FC083F"/>
    <w:rsid w:val="00FC0CA2"/>
    <w:rsid w:val="00FC1BFC"/>
    <w:rsid w:val="00FC2006"/>
    <w:rsid w:val="00FC2132"/>
    <w:rsid w:val="00FC29C7"/>
    <w:rsid w:val="00FC3512"/>
    <w:rsid w:val="00FC35E0"/>
    <w:rsid w:val="00FC368A"/>
    <w:rsid w:val="00FC3AE7"/>
    <w:rsid w:val="00FC403C"/>
    <w:rsid w:val="00FC437B"/>
    <w:rsid w:val="00FC4951"/>
    <w:rsid w:val="00FC4AE5"/>
    <w:rsid w:val="00FC4B28"/>
    <w:rsid w:val="00FC4E4B"/>
    <w:rsid w:val="00FC53DF"/>
    <w:rsid w:val="00FC5437"/>
    <w:rsid w:val="00FC5663"/>
    <w:rsid w:val="00FC56C7"/>
    <w:rsid w:val="00FC57D3"/>
    <w:rsid w:val="00FC5BC8"/>
    <w:rsid w:val="00FC6073"/>
    <w:rsid w:val="00FC611F"/>
    <w:rsid w:val="00FC6669"/>
    <w:rsid w:val="00FC6ADA"/>
    <w:rsid w:val="00FC6DDA"/>
    <w:rsid w:val="00FC715A"/>
    <w:rsid w:val="00FC7463"/>
    <w:rsid w:val="00FC7600"/>
    <w:rsid w:val="00FC7DCD"/>
    <w:rsid w:val="00FD01E6"/>
    <w:rsid w:val="00FD0574"/>
    <w:rsid w:val="00FD0657"/>
    <w:rsid w:val="00FD089E"/>
    <w:rsid w:val="00FD0982"/>
    <w:rsid w:val="00FD0A1B"/>
    <w:rsid w:val="00FD0A68"/>
    <w:rsid w:val="00FD0EB5"/>
    <w:rsid w:val="00FD14C0"/>
    <w:rsid w:val="00FD1946"/>
    <w:rsid w:val="00FD1BE7"/>
    <w:rsid w:val="00FD1E67"/>
    <w:rsid w:val="00FD2615"/>
    <w:rsid w:val="00FD266B"/>
    <w:rsid w:val="00FD29ED"/>
    <w:rsid w:val="00FD2E0F"/>
    <w:rsid w:val="00FD312D"/>
    <w:rsid w:val="00FD31F9"/>
    <w:rsid w:val="00FD3684"/>
    <w:rsid w:val="00FD379B"/>
    <w:rsid w:val="00FD39D3"/>
    <w:rsid w:val="00FD4D0F"/>
    <w:rsid w:val="00FD5253"/>
    <w:rsid w:val="00FD58B2"/>
    <w:rsid w:val="00FD5A21"/>
    <w:rsid w:val="00FD5D74"/>
    <w:rsid w:val="00FD5FEE"/>
    <w:rsid w:val="00FD6735"/>
    <w:rsid w:val="00FD68A0"/>
    <w:rsid w:val="00FD6AD8"/>
    <w:rsid w:val="00FD6BB2"/>
    <w:rsid w:val="00FD6CD6"/>
    <w:rsid w:val="00FD7044"/>
    <w:rsid w:val="00FD7279"/>
    <w:rsid w:val="00FD72EF"/>
    <w:rsid w:val="00FD7563"/>
    <w:rsid w:val="00FD7EA5"/>
    <w:rsid w:val="00FE0023"/>
    <w:rsid w:val="00FE01D9"/>
    <w:rsid w:val="00FE01FA"/>
    <w:rsid w:val="00FE074C"/>
    <w:rsid w:val="00FE0806"/>
    <w:rsid w:val="00FE0FEC"/>
    <w:rsid w:val="00FE1024"/>
    <w:rsid w:val="00FE1298"/>
    <w:rsid w:val="00FE12D7"/>
    <w:rsid w:val="00FE17B2"/>
    <w:rsid w:val="00FE1AF8"/>
    <w:rsid w:val="00FE29FD"/>
    <w:rsid w:val="00FE2A52"/>
    <w:rsid w:val="00FE2DCD"/>
    <w:rsid w:val="00FE2E1B"/>
    <w:rsid w:val="00FE3074"/>
    <w:rsid w:val="00FE3121"/>
    <w:rsid w:val="00FE35D1"/>
    <w:rsid w:val="00FE36B6"/>
    <w:rsid w:val="00FE39A8"/>
    <w:rsid w:val="00FE3D20"/>
    <w:rsid w:val="00FE3ECD"/>
    <w:rsid w:val="00FE3F61"/>
    <w:rsid w:val="00FE41C6"/>
    <w:rsid w:val="00FE4667"/>
    <w:rsid w:val="00FE4696"/>
    <w:rsid w:val="00FE494B"/>
    <w:rsid w:val="00FE55C7"/>
    <w:rsid w:val="00FE6553"/>
    <w:rsid w:val="00FE6ADD"/>
    <w:rsid w:val="00FE6F7A"/>
    <w:rsid w:val="00FE72D2"/>
    <w:rsid w:val="00FE7886"/>
    <w:rsid w:val="00FE790C"/>
    <w:rsid w:val="00FE7BF0"/>
    <w:rsid w:val="00FE7C1A"/>
    <w:rsid w:val="00FE7F8A"/>
    <w:rsid w:val="00FF139B"/>
    <w:rsid w:val="00FF173F"/>
    <w:rsid w:val="00FF23ED"/>
    <w:rsid w:val="00FF26F6"/>
    <w:rsid w:val="00FF2D44"/>
    <w:rsid w:val="00FF3358"/>
    <w:rsid w:val="00FF40EF"/>
    <w:rsid w:val="00FF459D"/>
    <w:rsid w:val="00FF46D2"/>
    <w:rsid w:val="00FF4904"/>
    <w:rsid w:val="00FF4DF7"/>
    <w:rsid w:val="00FF541B"/>
    <w:rsid w:val="00FF5549"/>
    <w:rsid w:val="00FF5D36"/>
    <w:rsid w:val="00FF6522"/>
    <w:rsid w:val="00FF6C5E"/>
    <w:rsid w:val="00FF6E6E"/>
    <w:rsid w:val="00FF71B9"/>
    <w:rsid w:val="00FF74C7"/>
    <w:rsid w:val="00FF765F"/>
    <w:rsid w:val="00FF7810"/>
    <w:rsid w:val="00FF7959"/>
    <w:rsid w:val="00FF7A46"/>
    <w:rsid w:val="00FF7ED1"/>
    <w:rsid w:val="50785987"/>
    <w:rsid w:val="71AE851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87DD13"/>
  <w15:docId w15:val="{7A42A402-8AE4-47DF-B903-81EAD4DC2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7DB8"/>
    <w:pPr>
      <w:spacing w:before="120" w:after="120" w:line="276" w:lineRule="auto"/>
      <w:jc w:val="both"/>
    </w:pPr>
    <w:rPr>
      <w:lang w:eastAsia="en-US"/>
    </w:rPr>
  </w:style>
  <w:style w:type="paragraph" w:styleId="Heading1">
    <w:name w:val="heading 1"/>
    <w:basedOn w:val="Normal"/>
    <w:next w:val="Normal"/>
    <w:link w:val="Heading1Char"/>
    <w:autoRedefine/>
    <w:qFormat/>
    <w:rsid w:val="000024FA"/>
    <w:pPr>
      <w:keepNext/>
      <w:numPr>
        <w:numId w:val="1"/>
      </w:numPr>
      <w:spacing w:line="240" w:lineRule="auto"/>
      <w:outlineLvl w:val="0"/>
    </w:pPr>
    <w:rPr>
      <w:rFonts w:ascii="Corbel" w:hAnsi="Corbel"/>
      <w:b/>
      <w:bCs/>
      <w:kern w:val="32"/>
      <w:sz w:val="32"/>
      <w:szCs w:val="32"/>
    </w:rPr>
  </w:style>
  <w:style w:type="paragraph" w:styleId="Heading2">
    <w:name w:val="heading 2"/>
    <w:basedOn w:val="Normal"/>
    <w:next w:val="Normal"/>
    <w:link w:val="Heading2Char"/>
    <w:autoRedefine/>
    <w:unhideWhenUsed/>
    <w:qFormat/>
    <w:rsid w:val="00F51ED0"/>
    <w:pPr>
      <w:keepNext/>
      <w:keepLines/>
      <w:numPr>
        <w:ilvl w:val="1"/>
        <w:numId w:val="1"/>
      </w:numPr>
      <w:tabs>
        <w:tab w:val="left" w:pos="567"/>
      </w:tabs>
      <w:spacing w:after="0"/>
      <w:jc w:val="left"/>
      <w:outlineLvl w:val="1"/>
    </w:pPr>
    <w:rPr>
      <w:rFonts w:ascii="Corbel" w:hAnsi="Corbel"/>
      <w:b/>
      <w:bCs/>
      <w:iCs/>
      <w:sz w:val="28"/>
      <w:szCs w:val="28"/>
    </w:rPr>
  </w:style>
  <w:style w:type="paragraph" w:styleId="Heading3">
    <w:name w:val="heading 3"/>
    <w:basedOn w:val="Normal"/>
    <w:next w:val="Normal"/>
    <w:link w:val="Heading3Char"/>
    <w:autoRedefine/>
    <w:unhideWhenUsed/>
    <w:qFormat/>
    <w:rsid w:val="002E5846"/>
    <w:pPr>
      <w:spacing w:line="240" w:lineRule="auto"/>
      <w:outlineLvl w:val="2"/>
    </w:pPr>
    <w:rPr>
      <w:i/>
      <w:iCs/>
    </w:rPr>
  </w:style>
  <w:style w:type="paragraph" w:styleId="Heading4">
    <w:name w:val="heading 4"/>
    <w:basedOn w:val="Normal"/>
    <w:next w:val="Normal"/>
    <w:link w:val="Heading4Char"/>
    <w:semiHidden/>
    <w:unhideWhenUsed/>
    <w:qFormat/>
    <w:rsid w:val="00AC2BA4"/>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AC2BA4"/>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AC2BA4"/>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AC2BA4"/>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AC2BA4"/>
    <w:pPr>
      <w:keepNext/>
      <w:keepLines/>
      <w:numPr>
        <w:ilvl w:val="7"/>
        <w:numId w:val="2"/>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AC2BA4"/>
    <w:pPr>
      <w:keepNext/>
      <w:keepLines/>
      <w:numPr>
        <w:ilvl w:val="8"/>
        <w:numId w:val="2"/>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024FA"/>
    <w:rPr>
      <w:rFonts w:ascii="Corbel" w:hAnsi="Corbel"/>
      <w:b/>
      <w:bCs/>
      <w:kern w:val="32"/>
      <w:sz w:val="32"/>
      <w:szCs w:val="32"/>
      <w:lang w:eastAsia="en-US"/>
    </w:rPr>
  </w:style>
  <w:style w:type="character" w:customStyle="1" w:styleId="Heading2Char">
    <w:name w:val="Heading 2 Char"/>
    <w:link w:val="Heading2"/>
    <w:rsid w:val="00F51ED0"/>
    <w:rPr>
      <w:rFonts w:ascii="Corbel" w:hAnsi="Corbel"/>
      <w:b/>
      <w:bCs/>
      <w:iCs/>
      <w:sz w:val="28"/>
      <w:szCs w:val="28"/>
      <w:lang w:eastAsia="en-US"/>
    </w:rPr>
  </w:style>
  <w:style w:type="paragraph" w:customStyle="1" w:styleId="Style1">
    <w:name w:val="Style1"/>
    <w:basedOn w:val="Heading2"/>
    <w:qFormat/>
    <w:rsid w:val="009705CC"/>
    <w:pPr>
      <w:numPr>
        <w:ilvl w:val="0"/>
        <w:numId w:val="0"/>
      </w:numPr>
    </w:pPr>
  </w:style>
  <w:style w:type="paragraph" w:styleId="FootnoteText">
    <w:name w:val="footnote text"/>
    <w:basedOn w:val="Normal"/>
    <w:link w:val="FootnoteTextChar"/>
    <w:uiPriority w:val="99"/>
    <w:rsid w:val="0086758A"/>
  </w:style>
  <w:style w:type="character" w:customStyle="1" w:styleId="FootnoteTextChar">
    <w:name w:val="Footnote Text Char"/>
    <w:link w:val="FootnoteText"/>
    <w:uiPriority w:val="99"/>
    <w:rsid w:val="0086758A"/>
    <w:rPr>
      <w:lang w:eastAsia="en-US"/>
    </w:rPr>
  </w:style>
  <w:style w:type="character" w:styleId="FootnoteReference">
    <w:name w:val="footnote reference"/>
    <w:uiPriority w:val="99"/>
    <w:rsid w:val="0086758A"/>
    <w:rPr>
      <w:vertAlign w:val="superscript"/>
    </w:rPr>
  </w:style>
  <w:style w:type="character" w:styleId="Hyperlink">
    <w:name w:val="Hyperlink"/>
    <w:uiPriority w:val="99"/>
    <w:rsid w:val="0086758A"/>
    <w:rPr>
      <w:color w:val="0563C1"/>
      <w:u w:val="single"/>
    </w:rPr>
  </w:style>
  <w:style w:type="character" w:styleId="CommentReference">
    <w:name w:val="annotation reference"/>
    <w:uiPriority w:val="99"/>
    <w:rsid w:val="003D62CA"/>
    <w:rPr>
      <w:sz w:val="16"/>
      <w:szCs w:val="16"/>
    </w:rPr>
  </w:style>
  <w:style w:type="character" w:customStyle="1" w:styleId="Heading3Char">
    <w:name w:val="Heading 3 Char"/>
    <w:link w:val="Heading3"/>
    <w:rsid w:val="002E5846"/>
    <w:rPr>
      <w:i/>
      <w:iCs/>
      <w:lang w:eastAsia="en-US"/>
    </w:rPr>
  </w:style>
  <w:style w:type="paragraph" w:styleId="CommentText">
    <w:name w:val="annotation text"/>
    <w:basedOn w:val="Normal"/>
    <w:link w:val="CommentTextChar"/>
    <w:uiPriority w:val="99"/>
    <w:rsid w:val="003D62CA"/>
  </w:style>
  <w:style w:type="character" w:customStyle="1" w:styleId="CommentTextChar">
    <w:name w:val="Comment Text Char"/>
    <w:link w:val="CommentText"/>
    <w:uiPriority w:val="99"/>
    <w:rsid w:val="003D62CA"/>
    <w:rPr>
      <w:lang w:eastAsia="en-US"/>
    </w:rPr>
  </w:style>
  <w:style w:type="paragraph" w:styleId="BalloonText">
    <w:name w:val="Balloon Text"/>
    <w:basedOn w:val="Normal"/>
    <w:link w:val="BalloonTextChar"/>
    <w:uiPriority w:val="99"/>
    <w:rsid w:val="003D62CA"/>
    <w:rPr>
      <w:rFonts w:ascii="Segoe UI" w:hAnsi="Segoe UI" w:cs="Segoe UI"/>
      <w:sz w:val="18"/>
      <w:szCs w:val="18"/>
    </w:rPr>
  </w:style>
  <w:style w:type="character" w:customStyle="1" w:styleId="BalloonTextChar">
    <w:name w:val="Balloon Text Char"/>
    <w:link w:val="BalloonText"/>
    <w:uiPriority w:val="99"/>
    <w:rsid w:val="003D62CA"/>
    <w:rPr>
      <w:rFonts w:ascii="Segoe UI" w:hAnsi="Segoe UI" w:cs="Segoe UI"/>
      <w:sz w:val="18"/>
      <w:szCs w:val="18"/>
      <w:lang w:eastAsia="en-US"/>
    </w:rPr>
  </w:style>
  <w:style w:type="character" w:styleId="Emphasis">
    <w:name w:val="Emphasis"/>
    <w:uiPriority w:val="20"/>
    <w:qFormat/>
    <w:rsid w:val="003D62CA"/>
    <w:rPr>
      <w:i/>
      <w:iCs/>
    </w:rPr>
  </w:style>
  <w:style w:type="paragraph" w:styleId="CommentSubject">
    <w:name w:val="annotation subject"/>
    <w:basedOn w:val="CommentText"/>
    <w:next w:val="CommentText"/>
    <w:link w:val="CommentSubjectChar"/>
    <w:uiPriority w:val="99"/>
    <w:rsid w:val="00001853"/>
    <w:rPr>
      <w:b/>
      <w:bCs/>
    </w:rPr>
  </w:style>
  <w:style w:type="character" w:customStyle="1" w:styleId="CommentSubjectChar">
    <w:name w:val="Comment Subject Char"/>
    <w:basedOn w:val="CommentTextChar"/>
    <w:link w:val="CommentSubject"/>
    <w:uiPriority w:val="99"/>
    <w:rsid w:val="00001853"/>
    <w:rPr>
      <w:b/>
      <w:bCs/>
      <w:lang w:eastAsia="en-US"/>
    </w:rPr>
  </w:style>
  <w:style w:type="paragraph" w:styleId="Revision">
    <w:name w:val="Revision"/>
    <w:hidden/>
    <w:uiPriority w:val="99"/>
    <w:semiHidden/>
    <w:rsid w:val="00EB5C6A"/>
    <w:rPr>
      <w:lang w:eastAsia="en-US"/>
    </w:rPr>
  </w:style>
  <w:style w:type="paragraph" w:styleId="ListParagraph">
    <w:name w:val="List Paragraph"/>
    <w:aliases w:val="List Paragraph1,Recommendation,List Paragraph11"/>
    <w:basedOn w:val="Normal"/>
    <w:link w:val="ListParagraphChar"/>
    <w:uiPriority w:val="34"/>
    <w:qFormat/>
    <w:rsid w:val="0063111D"/>
    <w:pPr>
      <w:ind w:left="720"/>
      <w:contextualSpacing/>
    </w:pPr>
  </w:style>
  <w:style w:type="paragraph" w:styleId="TOCHeading">
    <w:name w:val="TOC Heading"/>
    <w:basedOn w:val="Heading1"/>
    <w:next w:val="Normal"/>
    <w:uiPriority w:val="39"/>
    <w:unhideWhenUsed/>
    <w:qFormat/>
    <w:rsid w:val="00B41302"/>
    <w:pPr>
      <w:keepLines/>
      <w:spacing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1">
    <w:name w:val="toc 1"/>
    <w:basedOn w:val="Normal"/>
    <w:next w:val="Normal"/>
    <w:autoRedefine/>
    <w:uiPriority w:val="39"/>
    <w:unhideWhenUsed/>
    <w:rsid w:val="007E3D40"/>
    <w:pPr>
      <w:tabs>
        <w:tab w:val="left" w:pos="454"/>
        <w:tab w:val="right" w:leader="dot" w:pos="8222"/>
      </w:tabs>
      <w:spacing w:after="40" w:line="240" w:lineRule="auto"/>
      <w:ind w:left="113" w:right="84"/>
    </w:pPr>
    <w:rPr>
      <w:rFonts w:asciiTheme="minorHAnsi" w:hAnsiTheme="minorHAnsi"/>
      <w:b/>
      <w:bCs/>
      <w:caps/>
      <w:sz w:val="22"/>
    </w:rPr>
  </w:style>
  <w:style w:type="paragraph" w:styleId="TOC2">
    <w:name w:val="toc 2"/>
    <w:basedOn w:val="Normal"/>
    <w:next w:val="Normal"/>
    <w:autoRedefine/>
    <w:uiPriority w:val="39"/>
    <w:unhideWhenUsed/>
    <w:rsid w:val="004E15A0"/>
    <w:pPr>
      <w:tabs>
        <w:tab w:val="left" w:pos="624"/>
        <w:tab w:val="right" w:leader="dot" w:pos="8296"/>
      </w:tabs>
      <w:spacing w:before="0" w:after="0" w:line="240" w:lineRule="auto"/>
      <w:ind w:left="652" w:hanging="454"/>
    </w:pPr>
    <w:rPr>
      <w:rFonts w:asciiTheme="minorHAnsi" w:hAnsiTheme="minorHAnsi"/>
      <w:smallCaps/>
    </w:rPr>
  </w:style>
  <w:style w:type="paragraph" w:styleId="TOC3">
    <w:name w:val="toc 3"/>
    <w:basedOn w:val="Normal"/>
    <w:next w:val="Normal"/>
    <w:autoRedefine/>
    <w:uiPriority w:val="39"/>
    <w:unhideWhenUsed/>
    <w:rsid w:val="00177803"/>
    <w:pPr>
      <w:spacing w:before="0" w:after="0" w:line="240" w:lineRule="auto"/>
      <w:ind w:left="403"/>
    </w:pPr>
    <w:rPr>
      <w:rFonts w:asciiTheme="minorHAnsi" w:hAnsiTheme="minorHAnsi"/>
      <w:iCs/>
      <w:smallCaps/>
      <w:sz w:val="22"/>
    </w:rPr>
  </w:style>
  <w:style w:type="paragraph" w:styleId="Header">
    <w:name w:val="header"/>
    <w:basedOn w:val="Normal"/>
    <w:link w:val="HeaderChar"/>
    <w:uiPriority w:val="99"/>
    <w:unhideWhenUsed/>
    <w:rsid w:val="00BE3F57"/>
    <w:pPr>
      <w:tabs>
        <w:tab w:val="center" w:pos="4513"/>
        <w:tab w:val="right" w:pos="9026"/>
      </w:tabs>
    </w:pPr>
    <w:rPr>
      <w:rFonts w:ascii="Cambria" w:eastAsia="Cambria" w:hAnsi="Cambria"/>
      <w:lang w:val="en-US"/>
    </w:rPr>
  </w:style>
  <w:style w:type="character" w:customStyle="1" w:styleId="HeaderChar">
    <w:name w:val="Header Char"/>
    <w:basedOn w:val="DefaultParagraphFont"/>
    <w:link w:val="Header"/>
    <w:uiPriority w:val="99"/>
    <w:rsid w:val="00BE3F57"/>
    <w:rPr>
      <w:rFonts w:ascii="Cambria" w:eastAsia="Cambria" w:hAnsi="Cambria"/>
      <w:sz w:val="24"/>
      <w:szCs w:val="24"/>
      <w:lang w:val="en-US" w:eastAsia="en-US"/>
    </w:rPr>
  </w:style>
  <w:style w:type="paragraph" w:styleId="DocumentMap">
    <w:name w:val="Document Map"/>
    <w:basedOn w:val="Normal"/>
    <w:link w:val="DocumentMapChar"/>
    <w:semiHidden/>
    <w:unhideWhenUsed/>
    <w:rsid w:val="00A54ED5"/>
    <w:rPr>
      <w:rFonts w:ascii="Tahoma" w:hAnsi="Tahoma" w:cs="Tahoma"/>
      <w:sz w:val="16"/>
      <w:szCs w:val="16"/>
    </w:rPr>
  </w:style>
  <w:style w:type="character" w:customStyle="1" w:styleId="DocumentMapChar">
    <w:name w:val="Document Map Char"/>
    <w:basedOn w:val="DefaultParagraphFont"/>
    <w:link w:val="DocumentMap"/>
    <w:semiHidden/>
    <w:rsid w:val="00A54ED5"/>
    <w:rPr>
      <w:rFonts w:ascii="Tahoma" w:hAnsi="Tahoma" w:cs="Tahoma"/>
      <w:sz w:val="16"/>
      <w:szCs w:val="16"/>
      <w:lang w:eastAsia="en-US"/>
    </w:rPr>
  </w:style>
  <w:style w:type="numbering" w:customStyle="1" w:styleId="Headings">
    <w:name w:val="Headings"/>
    <w:uiPriority w:val="99"/>
    <w:rsid w:val="00AC2BA4"/>
    <w:pPr>
      <w:numPr>
        <w:numId w:val="5"/>
      </w:numPr>
    </w:pPr>
  </w:style>
  <w:style w:type="paragraph" w:styleId="Footer">
    <w:name w:val="footer"/>
    <w:basedOn w:val="Normal"/>
    <w:link w:val="FooterChar"/>
    <w:uiPriority w:val="99"/>
    <w:unhideWhenUsed/>
    <w:rsid w:val="0015779F"/>
    <w:pPr>
      <w:tabs>
        <w:tab w:val="center" w:pos="4513"/>
        <w:tab w:val="right" w:pos="9026"/>
      </w:tabs>
      <w:spacing w:before="0" w:after="0"/>
    </w:pPr>
  </w:style>
  <w:style w:type="character" w:customStyle="1" w:styleId="Heading4Char">
    <w:name w:val="Heading 4 Char"/>
    <w:basedOn w:val="DefaultParagraphFont"/>
    <w:link w:val="Heading4"/>
    <w:semiHidden/>
    <w:rsid w:val="00AC2BA4"/>
    <w:rPr>
      <w:rFonts w:asciiTheme="majorHAnsi" w:eastAsiaTheme="majorEastAsia" w:hAnsiTheme="majorHAnsi" w:cstheme="majorBidi"/>
      <w:b/>
      <w:bCs/>
      <w:i/>
      <w:iCs/>
      <w:color w:val="4F81BD" w:themeColor="accent1"/>
      <w:lang w:eastAsia="en-US"/>
    </w:rPr>
  </w:style>
  <w:style w:type="character" w:customStyle="1" w:styleId="Heading5Char">
    <w:name w:val="Heading 5 Char"/>
    <w:basedOn w:val="DefaultParagraphFont"/>
    <w:link w:val="Heading5"/>
    <w:semiHidden/>
    <w:rsid w:val="00AC2BA4"/>
    <w:rPr>
      <w:rFonts w:asciiTheme="majorHAnsi" w:eastAsiaTheme="majorEastAsia" w:hAnsiTheme="majorHAnsi" w:cstheme="majorBidi"/>
      <w:color w:val="243F60" w:themeColor="accent1" w:themeShade="7F"/>
      <w:lang w:eastAsia="en-US"/>
    </w:rPr>
  </w:style>
  <w:style w:type="character" w:customStyle="1" w:styleId="Heading6Char">
    <w:name w:val="Heading 6 Char"/>
    <w:basedOn w:val="DefaultParagraphFont"/>
    <w:link w:val="Heading6"/>
    <w:semiHidden/>
    <w:rsid w:val="00AC2BA4"/>
    <w:rPr>
      <w:rFonts w:asciiTheme="majorHAnsi" w:eastAsiaTheme="majorEastAsia" w:hAnsiTheme="majorHAnsi" w:cstheme="majorBidi"/>
      <w:i/>
      <w:iCs/>
      <w:color w:val="243F60" w:themeColor="accent1" w:themeShade="7F"/>
      <w:lang w:eastAsia="en-US"/>
    </w:rPr>
  </w:style>
  <w:style w:type="character" w:customStyle="1" w:styleId="Heading7Char">
    <w:name w:val="Heading 7 Char"/>
    <w:basedOn w:val="DefaultParagraphFont"/>
    <w:link w:val="Heading7"/>
    <w:semiHidden/>
    <w:rsid w:val="00AC2BA4"/>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semiHidden/>
    <w:rsid w:val="00AC2BA4"/>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semiHidden/>
    <w:rsid w:val="00AC2BA4"/>
    <w:rPr>
      <w:rFonts w:asciiTheme="majorHAnsi" w:eastAsiaTheme="majorEastAsia" w:hAnsiTheme="majorHAnsi" w:cstheme="majorBidi"/>
      <w:i/>
      <w:iCs/>
      <w:color w:val="404040" w:themeColor="text1" w:themeTint="BF"/>
      <w:lang w:eastAsia="en-US"/>
    </w:rPr>
  </w:style>
  <w:style w:type="character" w:customStyle="1" w:styleId="FooterChar">
    <w:name w:val="Footer Char"/>
    <w:basedOn w:val="DefaultParagraphFont"/>
    <w:link w:val="Footer"/>
    <w:uiPriority w:val="99"/>
    <w:rsid w:val="0015779F"/>
    <w:rPr>
      <w:lang w:eastAsia="en-US"/>
    </w:rPr>
  </w:style>
  <w:style w:type="paragraph" w:customStyle="1" w:styleId="references">
    <w:name w:val="references"/>
    <w:basedOn w:val="Normal"/>
    <w:link w:val="referencesChar"/>
    <w:autoRedefine/>
    <w:qFormat/>
    <w:rsid w:val="002B3046"/>
    <w:pPr>
      <w:ind w:left="284" w:hanging="284"/>
    </w:pPr>
    <w:rPr>
      <w:rFonts w:ascii="Arial" w:hAnsi="Arial" w:cs="Arial"/>
      <w:color w:val="222222"/>
      <w:sz w:val="20"/>
      <w:szCs w:val="20"/>
      <w:shd w:val="clear" w:color="auto" w:fill="FFFFFF"/>
    </w:rPr>
  </w:style>
  <w:style w:type="paragraph" w:styleId="Caption">
    <w:name w:val="caption"/>
    <w:basedOn w:val="Normal"/>
    <w:next w:val="Normal"/>
    <w:autoRedefine/>
    <w:uiPriority w:val="35"/>
    <w:unhideWhenUsed/>
    <w:qFormat/>
    <w:rsid w:val="00BE57D0"/>
    <w:pPr>
      <w:keepNext/>
      <w:spacing w:before="0" w:after="0" w:line="240" w:lineRule="auto"/>
      <w:jc w:val="left"/>
    </w:pPr>
    <w:rPr>
      <w:rFonts w:asciiTheme="minorHAnsi" w:eastAsiaTheme="minorHAnsi" w:hAnsiTheme="minorHAnsi" w:cstheme="minorBidi"/>
      <w:b/>
      <w:bCs/>
      <w:sz w:val="20"/>
      <w:szCs w:val="20"/>
    </w:rPr>
  </w:style>
  <w:style w:type="character" w:customStyle="1" w:styleId="referencesChar">
    <w:name w:val="references Char"/>
    <w:basedOn w:val="DefaultParagraphFont"/>
    <w:link w:val="references"/>
    <w:rsid w:val="002B3046"/>
    <w:rPr>
      <w:rFonts w:ascii="Arial" w:hAnsi="Arial" w:cs="Arial"/>
      <w:color w:val="222222"/>
      <w:sz w:val="20"/>
      <w:szCs w:val="20"/>
      <w:lang w:eastAsia="en-US"/>
    </w:rPr>
  </w:style>
  <w:style w:type="character" w:styleId="Strong">
    <w:name w:val="Strong"/>
    <w:basedOn w:val="DefaultParagraphFont"/>
    <w:uiPriority w:val="22"/>
    <w:qFormat/>
    <w:rsid w:val="005326E3"/>
    <w:rPr>
      <w:b/>
      <w:bCs/>
    </w:rPr>
  </w:style>
  <w:style w:type="table" w:styleId="TableGrid">
    <w:name w:val="Table Grid"/>
    <w:basedOn w:val="TableNormal"/>
    <w:uiPriority w:val="39"/>
    <w:rsid w:val="008B1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8539CE"/>
    <w:pPr>
      <w:spacing w:before="0" w:after="0"/>
      <w:ind w:left="600"/>
    </w:pPr>
    <w:rPr>
      <w:rFonts w:asciiTheme="minorHAnsi" w:hAnsiTheme="minorHAnsi"/>
      <w:sz w:val="18"/>
      <w:szCs w:val="18"/>
    </w:rPr>
  </w:style>
  <w:style w:type="paragraph" w:styleId="TOC5">
    <w:name w:val="toc 5"/>
    <w:basedOn w:val="Normal"/>
    <w:next w:val="Normal"/>
    <w:autoRedefine/>
    <w:uiPriority w:val="39"/>
    <w:unhideWhenUsed/>
    <w:rsid w:val="008539CE"/>
    <w:pPr>
      <w:spacing w:before="0" w:after="0"/>
      <w:ind w:left="800"/>
    </w:pPr>
    <w:rPr>
      <w:rFonts w:asciiTheme="minorHAnsi" w:hAnsiTheme="minorHAnsi"/>
      <w:sz w:val="18"/>
      <w:szCs w:val="18"/>
    </w:rPr>
  </w:style>
  <w:style w:type="paragraph" w:styleId="TOC6">
    <w:name w:val="toc 6"/>
    <w:basedOn w:val="Normal"/>
    <w:next w:val="Normal"/>
    <w:autoRedefine/>
    <w:uiPriority w:val="39"/>
    <w:unhideWhenUsed/>
    <w:rsid w:val="008539CE"/>
    <w:pPr>
      <w:spacing w:before="0" w:after="0"/>
      <w:ind w:left="1000"/>
    </w:pPr>
    <w:rPr>
      <w:rFonts w:asciiTheme="minorHAnsi" w:hAnsiTheme="minorHAnsi"/>
      <w:sz w:val="18"/>
      <w:szCs w:val="18"/>
    </w:rPr>
  </w:style>
  <w:style w:type="paragraph" w:styleId="TOC7">
    <w:name w:val="toc 7"/>
    <w:basedOn w:val="Normal"/>
    <w:next w:val="Normal"/>
    <w:autoRedefine/>
    <w:uiPriority w:val="39"/>
    <w:unhideWhenUsed/>
    <w:rsid w:val="008539CE"/>
    <w:pPr>
      <w:spacing w:before="0" w:after="0"/>
      <w:ind w:left="1200"/>
    </w:pPr>
    <w:rPr>
      <w:rFonts w:asciiTheme="minorHAnsi" w:hAnsiTheme="minorHAnsi"/>
      <w:sz w:val="18"/>
      <w:szCs w:val="18"/>
    </w:rPr>
  </w:style>
  <w:style w:type="paragraph" w:styleId="TOC8">
    <w:name w:val="toc 8"/>
    <w:basedOn w:val="Normal"/>
    <w:next w:val="Normal"/>
    <w:autoRedefine/>
    <w:uiPriority w:val="39"/>
    <w:unhideWhenUsed/>
    <w:rsid w:val="008539CE"/>
    <w:pPr>
      <w:spacing w:before="0" w:after="0"/>
      <w:ind w:left="1400"/>
    </w:pPr>
    <w:rPr>
      <w:rFonts w:asciiTheme="minorHAnsi" w:hAnsiTheme="minorHAnsi"/>
      <w:sz w:val="18"/>
      <w:szCs w:val="18"/>
    </w:rPr>
  </w:style>
  <w:style w:type="paragraph" w:styleId="TOC9">
    <w:name w:val="toc 9"/>
    <w:basedOn w:val="Normal"/>
    <w:next w:val="Normal"/>
    <w:autoRedefine/>
    <w:uiPriority w:val="39"/>
    <w:unhideWhenUsed/>
    <w:rsid w:val="008539CE"/>
    <w:pPr>
      <w:spacing w:before="0" w:after="0"/>
      <w:ind w:left="1600"/>
    </w:pPr>
    <w:rPr>
      <w:rFonts w:asciiTheme="minorHAnsi" w:hAnsiTheme="minorHAnsi"/>
      <w:sz w:val="18"/>
      <w:szCs w:val="18"/>
    </w:rPr>
  </w:style>
  <w:style w:type="paragraph" w:styleId="TableofFigures">
    <w:name w:val="table of figures"/>
    <w:basedOn w:val="Normal"/>
    <w:next w:val="Normal"/>
    <w:uiPriority w:val="99"/>
    <w:unhideWhenUsed/>
    <w:rsid w:val="004F70D2"/>
    <w:pPr>
      <w:spacing w:before="0" w:after="0"/>
      <w:ind w:left="480" w:hanging="480"/>
      <w:jc w:val="left"/>
    </w:pPr>
    <w:rPr>
      <w:rFonts w:asciiTheme="minorHAnsi" w:hAnsiTheme="minorHAnsi" w:cstheme="minorHAnsi"/>
      <w:caps/>
      <w:sz w:val="20"/>
      <w:szCs w:val="20"/>
    </w:rPr>
  </w:style>
  <w:style w:type="paragraph" w:customStyle="1" w:styleId="AF9C0D89C6C84DA28525CD0352CAF9E2">
    <w:name w:val="AF9C0D89C6C84DA28525CD0352CAF9E2"/>
    <w:rsid w:val="00C25528"/>
    <w:pPr>
      <w:spacing w:after="200" w:line="276" w:lineRule="auto"/>
    </w:pPr>
    <w:rPr>
      <w:rFonts w:asciiTheme="minorHAnsi" w:eastAsiaTheme="minorEastAsia" w:hAnsiTheme="minorHAnsi" w:cstheme="minorBidi"/>
      <w:sz w:val="22"/>
      <w:szCs w:val="22"/>
      <w:lang w:val="en-US" w:eastAsia="en-US"/>
    </w:rPr>
  </w:style>
  <w:style w:type="character" w:styleId="PageNumber">
    <w:name w:val="page number"/>
    <w:basedOn w:val="DefaultParagraphFont"/>
    <w:semiHidden/>
    <w:rsid w:val="00C24C13"/>
  </w:style>
  <w:style w:type="paragraph" w:customStyle="1" w:styleId="Default">
    <w:name w:val="Default"/>
    <w:rsid w:val="00EC553C"/>
    <w:pPr>
      <w:autoSpaceDE w:val="0"/>
      <w:autoSpaceDN w:val="0"/>
      <w:adjustRightInd w:val="0"/>
    </w:pPr>
    <w:rPr>
      <w:rFonts w:ascii="Calibri" w:hAnsi="Calibri" w:cs="Calibri"/>
      <w:color w:val="000000"/>
    </w:rPr>
  </w:style>
  <w:style w:type="paragraph" w:styleId="BodyText">
    <w:name w:val="Body Text"/>
    <w:basedOn w:val="Normal"/>
    <w:link w:val="BodyTextChar"/>
    <w:uiPriority w:val="1"/>
    <w:qFormat/>
    <w:rsid w:val="00B65885"/>
    <w:pPr>
      <w:widowControl w:val="0"/>
      <w:spacing w:before="0" w:after="0"/>
      <w:ind w:left="120"/>
    </w:pPr>
    <w:rPr>
      <w:rFonts w:cstheme="minorBidi"/>
      <w:lang w:val="en-US"/>
    </w:rPr>
  </w:style>
  <w:style w:type="character" w:customStyle="1" w:styleId="BodyTextChar">
    <w:name w:val="Body Text Char"/>
    <w:basedOn w:val="DefaultParagraphFont"/>
    <w:link w:val="BodyText"/>
    <w:uiPriority w:val="1"/>
    <w:rsid w:val="00B65885"/>
    <w:rPr>
      <w:rFonts w:cstheme="minorBidi"/>
      <w:sz w:val="24"/>
      <w:szCs w:val="24"/>
      <w:lang w:val="en-US" w:eastAsia="en-US"/>
    </w:rPr>
  </w:style>
  <w:style w:type="character" w:customStyle="1" w:styleId="a-size-large">
    <w:name w:val="a-size-large"/>
    <w:basedOn w:val="DefaultParagraphFont"/>
    <w:rsid w:val="00181C4D"/>
  </w:style>
  <w:style w:type="character" w:customStyle="1" w:styleId="apple-converted-space">
    <w:name w:val="apple-converted-space"/>
    <w:basedOn w:val="DefaultParagraphFont"/>
    <w:rsid w:val="00181C4D"/>
  </w:style>
  <w:style w:type="paragraph" w:styleId="NormalWeb">
    <w:name w:val="Normal (Web)"/>
    <w:basedOn w:val="Normal"/>
    <w:uiPriority w:val="99"/>
    <w:semiHidden/>
    <w:unhideWhenUsed/>
    <w:rsid w:val="000A755D"/>
    <w:pPr>
      <w:spacing w:before="100" w:beforeAutospacing="1" w:after="100" w:afterAutospacing="1"/>
    </w:pPr>
    <w:rPr>
      <w:rFonts w:eastAsiaTheme="minorEastAsia"/>
      <w:lang w:eastAsia="en-AU"/>
    </w:rPr>
  </w:style>
  <w:style w:type="paragraph" w:styleId="EndnoteText">
    <w:name w:val="endnote text"/>
    <w:basedOn w:val="Normal"/>
    <w:link w:val="EndnoteTextChar"/>
    <w:semiHidden/>
    <w:unhideWhenUsed/>
    <w:rsid w:val="00191E63"/>
    <w:pPr>
      <w:spacing w:before="0" w:after="0"/>
    </w:pPr>
  </w:style>
  <w:style w:type="character" w:customStyle="1" w:styleId="EndnoteTextChar">
    <w:name w:val="Endnote Text Char"/>
    <w:basedOn w:val="DefaultParagraphFont"/>
    <w:link w:val="EndnoteText"/>
    <w:semiHidden/>
    <w:rsid w:val="00191E63"/>
    <w:rPr>
      <w:lang w:eastAsia="en-US"/>
    </w:rPr>
  </w:style>
  <w:style w:type="character" w:styleId="EndnoteReference">
    <w:name w:val="endnote reference"/>
    <w:basedOn w:val="DefaultParagraphFont"/>
    <w:semiHidden/>
    <w:unhideWhenUsed/>
    <w:rsid w:val="00191E63"/>
    <w:rPr>
      <w:vertAlign w:val="superscript"/>
    </w:rPr>
  </w:style>
  <w:style w:type="paragraph" w:customStyle="1" w:styleId="AppHead1">
    <w:name w:val="AppHead1"/>
    <w:basedOn w:val="Heading1"/>
    <w:next w:val="Normal"/>
    <w:link w:val="AppHead1Char"/>
    <w:autoRedefine/>
    <w:qFormat/>
    <w:rsid w:val="00C35DBF"/>
    <w:pPr>
      <w:numPr>
        <w:numId w:val="0"/>
      </w:numPr>
    </w:pPr>
  </w:style>
  <w:style w:type="paragraph" w:customStyle="1" w:styleId="AppHead2">
    <w:name w:val="AppHead2"/>
    <w:basedOn w:val="Heading2"/>
    <w:next w:val="Normal"/>
    <w:link w:val="AppHead2Char"/>
    <w:autoRedefine/>
    <w:qFormat/>
    <w:rsid w:val="00377B63"/>
    <w:pPr>
      <w:numPr>
        <w:numId w:val="3"/>
      </w:numPr>
    </w:pPr>
  </w:style>
  <w:style w:type="character" w:customStyle="1" w:styleId="AppHead1Char">
    <w:name w:val="AppHead1 Char"/>
    <w:basedOn w:val="Heading1Char"/>
    <w:link w:val="AppHead1"/>
    <w:rsid w:val="00C35DBF"/>
    <w:rPr>
      <w:rFonts w:ascii="Corbel" w:hAnsi="Corbel"/>
      <w:b/>
      <w:bCs/>
      <w:kern w:val="32"/>
      <w:sz w:val="32"/>
      <w:szCs w:val="32"/>
      <w:lang w:eastAsia="en-US"/>
    </w:rPr>
  </w:style>
  <w:style w:type="paragraph" w:customStyle="1" w:styleId="AppHead3">
    <w:name w:val="AppHead3"/>
    <w:basedOn w:val="Heading3"/>
    <w:next w:val="Normal"/>
    <w:link w:val="AppHead3Char"/>
    <w:autoRedefine/>
    <w:qFormat/>
    <w:rsid w:val="008265A1"/>
    <w:pPr>
      <w:numPr>
        <w:numId w:val="4"/>
      </w:numPr>
    </w:pPr>
  </w:style>
  <w:style w:type="character" w:customStyle="1" w:styleId="AppHead2Char">
    <w:name w:val="AppHead2 Char"/>
    <w:basedOn w:val="Heading2Char"/>
    <w:link w:val="AppHead2"/>
    <w:rsid w:val="00377B63"/>
    <w:rPr>
      <w:rFonts w:ascii="Corbel" w:hAnsi="Corbel"/>
      <w:b/>
      <w:bCs/>
      <w:iCs/>
      <w:sz w:val="28"/>
      <w:szCs w:val="28"/>
      <w:lang w:eastAsia="en-US"/>
    </w:rPr>
  </w:style>
  <w:style w:type="character" w:customStyle="1" w:styleId="AppHead3Char">
    <w:name w:val="AppHead3 Char"/>
    <w:basedOn w:val="Heading3Char"/>
    <w:link w:val="AppHead3"/>
    <w:rsid w:val="008265A1"/>
    <w:rPr>
      <w:rFonts w:ascii="Corbel" w:hAnsi="Corbel"/>
      <w:b w:val="0"/>
      <w:i/>
      <w:iCs/>
      <w:szCs w:val="26"/>
      <w:lang w:eastAsia="en-US"/>
    </w:rPr>
  </w:style>
  <w:style w:type="character" w:styleId="HTMLCite">
    <w:name w:val="HTML Cite"/>
    <w:basedOn w:val="DefaultParagraphFont"/>
    <w:uiPriority w:val="99"/>
    <w:semiHidden/>
    <w:unhideWhenUsed/>
    <w:rsid w:val="005B3A1B"/>
    <w:rPr>
      <w:i/>
      <w:iCs/>
    </w:rPr>
  </w:style>
  <w:style w:type="paragraph" w:styleId="Quote">
    <w:name w:val="Quote"/>
    <w:basedOn w:val="Normal"/>
    <w:next w:val="Normal"/>
    <w:link w:val="QuoteChar"/>
    <w:uiPriority w:val="29"/>
    <w:qFormat/>
    <w:rsid w:val="00682048"/>
    <w:pPr>
      <w:spacing w:before="200" w:after="160"/>
      <w:ind w:left="864" w:right="864"/>
    </w:pPr>
    <w:rPr>
      <w:i/>
      <w:iCs/>
      <w:color w:val="404040" w:themeColor="text1" w:themeTint="BF"/>
    </w:rPr>
  </w:style>
  <w:style w:type="character" w:customStyle="1" w:styleId="QuoteChar">
    <w:name w:val="Quote Char"/>
    <w:basedOn w:val="DefaultParagraphFont"/>
    <w:link w:val="Quote"/>
    <w:uiPriority w:val="29"/>
    <w:rsid w:val="00682048"/>
    <w:rPr>
      <w:i/>
      <w:iCs/>
      <w:color w:val="404040" w:themeColor="text1" w:themeTint="BF"/>
      <w:lang w:eastAsia="en-US"/>
    </w:rPr>
  </w:style>
  <w:style w:type="table" w:customStyle="1" w:styleId="GridTable1Light1">
    <w:name w:val="Grid Table 1 Light1"/>
    <w:basedOn w:val="TableNormal"/>
    <w:uiPriority w:val="46"/>
    <w:rsid w:val="00A30D6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5Dark1">
    <w:name w:val="Grid Table 5 Dark1"/>
    <w:basedOn w:val="TableNormal"/>
    <w:uiPriority w:val="50"/>
    <w:rsid w:val="000C67AD"/>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PlainTable51">
    <w:name w:val="Plain Table 51"/>
    <w:basedOn w:val="TableNormal"/>
    <w:uiPriority w:val="45"/>
    <w:rsid w:val="00893B7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
    <w:name w:val="Plain Table 31"/>
    <w:basedOn w:val="TableNormal"/>
    <w:uiPriority w:val="43"/>
    <w:rsid w:val="00893B7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21">
    <w:name w:val="List Table 21"/>
    <w:basedOn w:val="TableNormal"/>
    <w:uiPriority w:val="47"/>
    <w:rsid w:val="00893B7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1">
    <w:name w:val="Grid Table 7 Colorful - Accent 51"/>
    <w:basedOn w:val="TableNormal"/>
    <w:uiPriority w:val="52"/>
    <w:rsid w:val="00893B7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1">
    <w:name w:val="Grid Table 31"/>
    <w:basedOn w:val="TableNormal"/>
    <w:uiPriority w:val="48"/>
    <w:rsid w:val="00893B7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GridLight1">
    <w:name w:val="Table Grid Light1"/>
    <w:basedOn w:val="TableNormal"/>
    <w:uiPriority w:val="40"/>
    <w:rsid w:val="00893B7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teLevel21">
    <w:name w:val="Note Level 21"/>
    <w:basedOn w:val="Normal"/>
    <w:rsid w:val="009B0CFF"/>
    <w:pPr>
      <w:keepNext/>
      <w:numPr>
        <w:ilvl w:val="1"/>
        <w:numId w:val="6"/>
      </w:numPr>
      <w:spacing w:after="0"/>
      <w:contextualSpacing/>
      <w:outlineLvl w:val="1"/>
    </w:pPr>
    <w:rPr>
      <w:rFonts w:ascii="Verdana" w:hAnsi="Verdana"/>
    </w:rPr>
  </w:style>
  <w:style w:type="paragraph" w:styleId="ListNumber">
    <w:name w:val="List Number"/>
    <w:basedOn w:val="Normal"/>
    <w:uiPriority w:val="99"/>
    <w:qFormat/>
    <w:rsid w:val="009B0CFF"/>
    <w:pPr>
      <w:numPr>
        <w:numId w:val="7"/>
      </w:numPr>
      <w:contextualSpacing/>
    </w:pPr>
  </w:style>
  <w:style w:type="paragraph" w:styleId="List4">
    <w:name w:val="List 4"/>
    <w:basedOn w:val="Normal"/>
    <w:rsid w:val="009B0CFF"/>
    <w:pPr>
      <w:numPr>
        <w:numId w:val="8"/>
      </w:numPr>
      <w:ind w:left="1094" w:hanging="357"/>
      <w:contextualSpacing/>
    </w:pPr>
  </w:style>
  <w:style w:type="character" w:styleId="FollowedHyperlink">
    <w:name w:val="FollowedHyperlink"/>
    <w:basedOn w:val="DefaultParagraphFont"/>
    <w:uiPriority w:val="99"/>
    <w:semiHidden/>
    <w:unhideWhenUsed/>
    <w:rsid w:val="00ED06FC"/>
    <w:rPr>
      <w:color w:val="800080" w:themeColor="followedHyperlink"/>
      <w:u w:val="single"/>
    </w:rPr>
  </w:style>
  <w:style w:type="character" w:customStyle="1" w:styleId="UnresolvedMention1">
    <w:name w:val="Unresolved Mention1"/>
    <w:basedOn w:val="DefaultParagraphFont"/>
    <w:uiPriority w:val="99"/>
    <w:semiHidden/>
    <w:unhideWhenUsed/>
    <w:rsid w:val="00EC574B"/>
    <w:rPr>
      <w:color w:val="808080"/>
      <w:shd w:val="clear" w:color="auto" w:fill="E6E6E6"/>
    </w:rPr>
  </w:style>
  <w:style w:type="paragraph" w:customStyle="1" w:styleId="gmail-msolistparagraph">
    <w:name w:val="gmail-msolistparagraph"/>
    <w:basedOn w:val="Normal"/>
    <w:rsid w:val="005157A6"/>
    <w:pPr>
      <w:spacing w:before="100" w:beforeAutospacing="1" w:after="100" w:afterAutospacing="1"/>
    </w:pPr>
    <w:rPr>
      <w:rFonts w:eastAsiaTheme="minorHAnsi"/>
      <w:lang w:eastAsia="en-AU"/>
    </w:rPr>
  </w:style>
  <w:style w:type="paragraph" w:customStyle="1" w:styleId="gmail-m3403610194493408842msolistparagraph">
    <w:name w:val="gmail-m_3403610194493408842msolistparagraph"/>
    <w:basedOn w:val="Normal"/>
    <w:rsid w:val="007666DF"/>
    <w:pPr>
      <w:spacing w:before="100" w:beforeAutospacing="1" w:after="100" w:afterAutospacing="1"/>
    </w:pPr>
    <w:rPr>
      <w:rFonts w:eastAsiaTheme="minorHAnsi"/>
      <w:lang w:eastAsia="en-AU"/>
    </w:rPr>
  </w:style>
  <w:style w:type="character" w:customStyle="1" w:styleId="st">
    <w:name w:val="st"/>
    <w:basedOn w:val="DefaultParagraphFont"/>
    <w:rsid w:val="0052217B"/>
  </w:style>
  <w:style w:type="paragraph" w:customStyle="1" w:styleId="paralargetext">
    <w:name w:val="paralargetext"/>
    <w:basedOn w:val="Normal"/>
    <w:rsid w:val="0009278F"/>
    <w:pPr>
      <w:spacing w:before="100" w:beforeAutospacing="1" w:after="100" w:afterAutospacing="1"/>
    </w:pPr>
    <w:rPr>
      <w:lang w:eastAsia="en-AU"/>
    </w:rPr>
  </w:style>
  <w:style w:type="character" w:customStyle="1" w:styleId="ListParagraphChar">
    <w:name w:val="List Paragraph Char"/>
    <w:aliases w:val="List Paragraph1 Char,Recommendation Char,List Paragraph11 Char"/>
    <w:basedOn w:val="DefaultParagraphFont"/>
    <w:link w:val="ListParagraph"/>
    <w:uiPriority w:val="34"/>
    <w:rsid w:val="00064BA7"/>
    <w:rPr>
      <w:lang w:eastAsia="en-US"/>
    </w:rPr>
  </w:style>
  <w:style w:type="character" w:customStyle="1" w:styleId="block">
    <w:name w:val="block"/>
    <w:basedOn w:val="DefaultParagraphFont"/>
    <w:rsid w:val="00CC70F6"/>
  </w:style>
  <w:style w:type="paragraph" w:customStyle="1" w:styleId="EndNoteBibliographyTitle">
    <w:name w:val="EndNote Bibliography Title"/>
    <w:basedOn w:val="Normal"/>
    <w:link w:val="EndNoteBibliographyTitleChar"/>
    <w:rsid w:val="00384220"/>
    <w:pPr>
      <w:spacing w:after="0"/>
      <w:jc w:val="center"/>
    </w:pPr>
    <w:rPr>
      <w:rFonts w:ascii="Cambria" w:hAnsi="Cambria"/>
      <w:noProof/>
      <w:sz w:val="32"/>
      <w:lang w:val="en-US"/>
    </w:rPr>
  </w:style>
  <w:style w:type="character" w:customStyle="1" w:styleId="EndNoteBibliographyTitleChar">
    <w:name w:val="EndNote Bibliography Title Char"/>
    <w:basedOn w:val="DefaultParagraphFont"/>
    <w:link w:val="EndNoteBibliographyTitle"/>
    <w:rsid w:val="00384220"/>
    <w:rPr>
      <w:rFonts w:ascii="Cambria" w:hAnsi="Cambria"/>
      <w:noProof/>
      <w:sz w:val="32"/>
      <w:lang w:val="en-US" w:eastAsia="en-US"/>
    </w:rPr>
  </w:style>
  <w:style w:type="paragraph" w:customStyle="1" w:styleId="EndNoteBibliography">
    <w:name w:val="EndNote Bibliography"/>
    <w:basedOn w:val="Normal"/>
    <w:link w:val="EndNoteBibliographyChar"/>
    <w:rsid w:val="00384220"/>
    <w:pPr>
      <w:spacing w:line="240" w:lineRule="auto"/>
    </w:pPr>
    <w:rPr>
      <w:rFonts w:ascii="Cambria" w:hAnsi="Cambria"/>
      <w:noProof/>
      <w:sz w:val="32"/>
      <w:lang w:val="en-US"/>
    </w:rPr>
  </w:style>
  <w:style w:type="character" w:customStyle="1" w:styleId="EndNoteBibliographyChar">
    <w:name w:val="EndNote Bibliography Char"/>
    <w:basedOn w:val="DefaultParagraphFont"/>
    <w:link w:val="EndNoteBibliography"/>
    <w:rsid w:val="00384220"/>
    <w:rPr>
      <w:rFonts w:ascii="Cambria" w:hAnsi="Cambria"/>
      <w:noProof/>
      <w:sz w:val="32"/>
      <w:lang w:val="en-US" w:eastAsia="en-US"/>
    </w:rPr>
  </w:style>
  <w:style w:type="paragraph" w:customStyle="1" w:styleId="body">
    <w:name w:val="body"/>
    <w:basedOn w:val="Normal"/>
    <w:rsid w:val="00646D14"/>
    <w:pPr>
      <w:spacing w:before="240" w:after="240" w:line="240" w:lineRule="auto"/>
      <w:jc w:val="left"/>
    </w:pPr>
    <w:rPr>
      <w:rFonts w:eastAsia="SimSun"/>
      <w:lang w:eastAsia="zh-CN"/>
    </w:rPr>
  </w:style>
  <w:style w:type="paragraph" w:customStyle="1" w:styleId="equation">
    <w:name w:val="equation"/>
    <w:basedOn w:val="Normal"/>
    <w:qFormat/>
    <w:rsid w:val="0087270D"/>
    <w:pPr>
      <w:tabs>
        <w:tab w:val="left" w:pos="567"/>
        <w:tab w:val="left" w:pos="7797"/>
      </w:tabs>
      <w:ind w:left="567"/>
    </w:pPr>
    <w:rPr>
      <w:rFonts w:ascii="Cambria Math" w:hAnsi="Cambria Math" w:cstheme="minorHAnsi"/>
      <w:i/>
    </w:rPr>
  </w:style>
  <w:style w:type="character" w:styleId="PlaceholderText">
    <w:name w:val="Placeholder Text"/>
    <w:basedOn w:val="DefaultParagraphFont"/>
    <w:uiPriority w:val="99"/>
    <w:semiHidden/>
    <w:rsid w:val="00DD7894"/>
    <w:rPr>
      <w:color w:val="808080"/>
    </w:rPr>
  </w:style>
  <w:style w:type="numbering" w:customStyle="1" w:styleId="NoList1">
    <w:name w:val="No List1"/>
    <w:next w:val="NoList"/>
    <w:uiPriority w:val="99"/>
    <w:semiHidden/>
    <w:unhideWhenUsed/>
    <w:rsid w:val="003C7322"/>
  </w:style>
  <w:style w:type="table" w:customStyle="1" w:styleId="TableGrid1">
    <w:name w:val="Table Grid1"/>
    <w:basedOn w:val="TableNormal"/>
    <w:next w:val="TableGrid"/>
    <w:uiPriority w:val="39"/>
    <w:rsid w:val="003C7322"/>
    <w:rPr>
      <w:rFonts w:ascii="Calibri" w:eastAsia="Calibri" w:hAnsi="Calibri"/>
      <w:sz w:val="22"/>
      <w:szCs w:val="22"/>
      <w:lang w:val="en-N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C7322"/>
    <w:rPr>
      <w:rFonts w:ascii="Calibri" w:eastAsia="Calibri" w:hAnsi="Calibri"/>
      <w:sz w:val="22"/>
      <w:szCs w:val="22"/>
      <w:lang w:val="en-N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387249"/>
    <w:pPr>
      <w:spacing w:before="0" w:after="0" w:line="240" w:lineRule="auto"/>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387249"/>
    <w:rPr>
      <w:rFonts w:asciiTheme="majorHAnsi" w:eastAsiaTheme="majorEastAsia" w:hAnsiTheme="majorHAnsi" w:cstheme="majorBidi"/>
      <w:spacing w:val="-10"/>
      <w:kern w:val="28"/>
      <w:sz w:val="56"/>
      <w:szCs w:val="56"/>
      <w:lang w:eastAsia="en-US"/>
    </w:rPr>
  </w:style>
  <w:style w:type="character" w:styleId="LineNumber">
    <w:name w:val="line number"/>
    <w:basedOn w:val="DefaultParagraphFont"/>
    <w:semiHidden/>
    <w:unhideWhenUsed/>
    <w:rsid w:val="00C20B7D"/>
  </w:style>
  <w:style w:type="character" w:styleId="UnresolvedMention">
    <w:name w:val="Unresolved Mention"/>
    <w:basedOn w:val="DefaultParagraphFont"/>
    <w:uiPriority w:val="99"/>
    <w:semiHidden/>
    <w:unhideWhenUsed/>
    <w:rsid w:val="00AB6576"/>
    <w:rPr>
      <w:color w:val="605E5C"/>
      <w:shd w:val="clear" w:color="auto" w:fill="E1DFDD"/>
    </w:rPr>
  </w:style>
  <w:style w:type="character" w:customStyle="1" w:styleId="highwire-citation-authors">
    <w:name w:val="highwire-citation-authors"/>
    <w:basedOn w:val="DefaultParagraphFont"/>
    <w:rsid w:val="007B668B"/>
  </w:style>
  <w:style w:type="character" w:customStyle="1" w:styleId="highwire-citation-author">
    <w:name w:val="highwire-citation-author"/>
    <w:basedOn w:val="DefaultParagraphFont"/>
    <w:rsid w:val="007B668B"/>
  </w:style>
  <w:style w:type="character" w:customStyle="1" w:styleId="nlm-given-names">
    <w:name w:val="nlm-given-names"/>
    <w:basedOn w:val="DefaultParagraphFont"/>
    <w:rsid w:val="007B668B"/>
  </w:style>
  <w:style w:type="character" w:customStyle="1" w:styleId="nlm-surname">
    <w:name w:val="nlm-surname"/>
    <w:basedOn w:val="DefaultParagraphFont"/>
    <w:rsid w:val="007B668B"/>
  </w:style>
  <w:style w:type="character" w:customStyle="1" w:styleId="highwire-cite-metadata-journal">
    <w:name w:val="highwire-cite-metadata-journal"/>
    <w:basedOn w:val="DefaultParagraphFont"/>
    <w:rsid w:val="007B668B"/>
  </w:style>
  <w:style w:type="character" w:customStyle="1" w:styleId="highwire-cite-metadata-pages">
    <w:name w:val="highwire-cite-metadata-pages"/>
    <w:basedOn w:val="DefaultParagraphFont"/>
    <w:rsid w:val="007B668B"/>
  </w:style>
  <w:style w:type="character" w:customStyle="1" w:styleId="highwire-cite-metadata-doi">
    <w:name w:val="highwire-cite-metadata-doi"/>
    <w:basedOn w:val="DefaultParagraphFont"/>
    <w:rsid w:val="007B668B"/>
  </w:style>
  <w:style w:type="character" w:customStyle="1" w:styleId="doilabel">
    <w:name w:val="doi_label"/>
    <w:basedOn w:val="DefaultParagraphFont"/>
    <w:rsid w:val="007B668B"/>
  </w:style>
  <w:style w:type="table" w:customStyle="1" w:styleId="TableGrid3">
    <w:name w:val="Table Grid3"/>
    <w:basedOn w:val="TableNormal"/>
    <w:next w:val="TableGrid"/>
    <w:uiPriority w:val="39"/>
    <w:rsid w:val="00CD010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uiPriority w:val="99"/>
    <w:rsid w:val="00D16F7F"/>
    <w:pPr>
      <w:spacing w:before="0" w:after="200"/>
      <w:ind w:left="738" w:hanging="369"/>
      <w:jc w:val="left"/>
    </w:pPr>
    <w:rPr>
      <w:rFonts w:ascii="Arial" w:eastAsia="Calibri" w:hAnsi="Arial"/>
      <w:sz w:val="22"/>
      <w:szCs w:val="22"/>
    </w:rPr>
  </w:style>
  <w:style w:type="paragraph" w:styleId="ListNumber3">
    <w:name w:val="List Number 3"/>
    <w:basedOn w:val="Normal"/>
    <w:uiPriority w:val="99"/>
    <w:rsid w:val="00D16F7F"/>
    <w:pPr>
      <w:spacing w:before="0" w:after="200"/>
      <w:ind w:left="1098" w:hanging="360"/>
      <w:jc w:val="left"/>
    </w:pPr>
    <w:rPr>
      <w:rFonts w:ascii="Arial" w:eastAsia="Calibri" w:hAnsi="Arial"/>
      <w:sz w:val="22"/>
      <w:szCs w:val="22"/>
    </w:rPr>
  </w:style>
  <w:style w:type="paragraph" w:styleId="ListNumber4">
    <w:name w:val="List Number 4"/>
    <w:basedOn w:val="Normal"/>
    <w:uiPriority w:val="99"/>
    <w:rsid w:val="00D16F7F"/>
    <w:pPr>
      <w:spacing w:before="0" w:after="200"/>
      <w:ind w:left="1476" w:hanging="369"/>
      <w:jc w:val="left"/>
    </w:pPr>
    <w:rPr>
      <w:rFonts w:ascii="Arial" w:eastAsia="Calibri" w:hAnsi="Arial"/>
      <w:sz w:val="22"/>
      <w:szCs w:val="22"/>
    </w:rPr>
  </w:style>
  <w:style w:type="paragraph" w:styleId="ListNumber5">
    <w:name w:val="List Number 5"/>
    <w:basedOn w:val="Normal"/>
    <w:uiPriority w:val="99"/>
    <w:rsid w:val="00D16F7F"/>
    <w:pPr>
      <w:spacing w:before="0" w:after="200"/>
      <w:ind w:left="1845" w:hanging="369"/>
      <w:jc w:val="left"/>
    </w:pPr>
    <w:rPr>
      <w:rFonts w:ascii="Arial" w:eastAsia="Calibri" w:hAnsi="Arial"/>
      <w:sz w:val="22"/>
      <w:szCs w:val="22"/>
    </w:rPr>
  </w:style>
  <w:style w:type="paragraph" w:styleId="PlainText">
    <w:name w:val="Plain Text"/>
    <w:basedOn w:val="Normal"/>
    <w:link w:val="PlainTextChar"/>
    <w:uiPriority w:val="99"/>
    <w:unhideWhenUsed/>
    <w:rsid w:val="00D16F7F"/>
    <w:pPr>
      <w:spacing w:before="0" w:after="0" w:line="240" w:lineRule="auto"/>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16F7F"/>
    <w:rPr>
      <w:rFonts w:ascii="Consolas" w:eastAsiaTheme="minorHAnsi" w:hAnsi="Consolas" w:cstheme="minorBidi"/>
      <w:sz w:val="21"/>
      <w:szCs w:val="21"/>
      <w:lang w:eastAsia="en-US"/>
    </w:rPr>
  </w:style>
  <w:style w:type="character" w:customStyle="1" w:styleId="Advisorytext">
    <w:name w:val="Advisory text"/>
    <w:basedOn w:val="DefaultParagraphFont"/>
    <w:uiPriority w:val="99"/>
    <w:rsid w:val="00D16F7F"/>
    <w:rPr>
      <w:color w:val="FF0000"/>
    </w:rPr>
  </w:style>
  <w:style w:type="character" w:customStyle="1" w:styleId="visually-hidden">
    <w:name w:val="visually-hidden"/>
    <w:basedOn w:val="DefaultParagraphFont"/>
    <w:rsid w:val="008B1185"/>
  </w:style>
  <w:style w:type="character" w:customStyle="1" w:styleId="t-14">
    <w:name w:val="t-14"/>
    <w:basedOn w:val="DefaultParagraphFont"/>
    <w:rsid w:val="008B1185"/>
  </w:style>
  <w:style w:type="character" w:customStyle="1" w:styleId="pvs-entitycaption-wrapper">
    <w:name w:val="pvs-entity__caption-wrapper"/>
    <w:basedOn w:val="DefaultParagraphFont"/>
    <w:rsid w:val="008B1185"/>
  </w:style>
  <w:style w:type="paragraph" w:customStyle="1" w:styleId="Numberlist1">
    <w:name w:val="Number list 1"/>
    <w:basedOn w:val="ListParagraph"/>
    <w:qFormat/>
    <w:rsid w:val="00EA3CC2"/>
    <w:pPr>
      <w:numPr>
        <w:numId w:val="40"/>
      </w:numPr>
    </w:pPr>
    <w:rPr>
      <w:b/>
      <w:bCs/>
    </w:rPr>
  </w:style>
  <w:style w:type="paragraph" w:customStyle="1" w:styleId="pf0">
    <w:name w:val="pf0"/>
    <w:basedOn w:val="Normal"/>
    <w:rsid w:val="0037229C"/>
    <w:pPr>
      <w:spacing w:before="100" w:beforeAutospacing="1" w:after="100" w:afterAutospacing="1" w:line="240" w:lineRule="auto"/>
      <w:jc w:val="left"/>
    </w:pPr>
    <w:rPr>
      <w:lang w:eastAsia="en-AU"/>
    </w:rPr>
  </w:style>
  <w:style w:type="character" w:customStyle="1" w:styleId="cf01">
    <w:name w:val="cf01"/>
    <w:basedOn w:val="DefaultParagraphFont"/>
    <w:rsid w:val="0037229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3047">
      <w:bodyDiv w:val="1"/>
      <w:marLeft w:val="0"/>
      <w:marRight w:val="0"/>
      <w:marTop w:val="0"/>
      <w:marBottom w:val="0"/>
      <w:divBdr>
        <w:top w:val="none" w:sz="0" w:space="0" w:color="auto"/>
        <w:left w:val="none" w:sz="0" w:space="0" w:color="auto"/>
        <w:bottom w:val="none" w:sz="0" w:space="0" w:color="auto"/>
        <w:right w:val="none" w:sz="0" w:space="0" w:color="auto"/>
      </w:divBdr>
    </w:div>
    <w:div w:id="19400080">
      <w:bodyDiv w:val="1"/>
      <w:marLeft w:val="0"/>
      <w:marRight w:val="0"/>
      <w:marTop w:val="0"/>
      <w:marBottom w:val="0"/>
      <w:divBdr>
        <w:top w:val="none" w:sz="0" w:space="0" w:color="auto"/>
        <w:left w:val="none" w:sz="0" w:space="0" w:color="auto"/>
        <w:bottom w:val="none" w:sz="0" w:space="0" w:color="auto"/>
        <w:right w:val="none" w:sz="0" w:space="0" w:color="auto"/>
      </w:divBdr>
    </w:div>
    <w:div w:id="20320321">
      <w:bodyDiv w:val="1"/>
      <w:marLeft w:val="0"/>
      <w:marRight w:val="0"/>
      <w:marTop w:val="0"/>
      <w:marBottom w:val="0"/>
      <w:divBdr>
        <w:top w:val="none" w:sz="0" w:space="0" w:color="auto"/>
        <w:left w:val="none" w:sz="0" w:space="0" w:color="auto"/>
        <w:bottom w:val="none" w:sz="0" w:space="0" w:color="auto"/>
        <w:right w:val="none" w:sz="0" w:space="0" w:color="auto"/>
      </w:divBdr>
    </w:div>
    <w:div w:id="35397852">
      <w:bodyDiv w:val="1"/>
      <w:marLeft w:val="0"/>
      <w:marRight w:val="0"/>
      <w:marTop w:val="0"/>
      <w:marBottom w:val="0"/>
      <w:divBdr>
        <w:top w:val="none" w:sz="0" w:space="0" w:color="auto"/>
        <w:left w:val="none" w:sz="0" w:space="0" w:color="auto"/>
        <w:bottom w:val="none" w:sz="0" w:space="0" w:color="auto"/>
        <w:right w:val="none" w:sz="0" w:space="0" w:color="auto"/>
      </w:divBdr>
    </w:div>
    <w:div w:id="42214286">
      <w:bodyDiv w:val="1"/>
      <w:marLeft w:val="0"/>
      <w:marRight w:val="0"/>
      <w:marTop w:val="0"/>
      <w:marBottom w:val="0"/>
      <w:divBdr>
        <w:top w:val="none" w:sz="0" w:space="0" w:color="auto"/>
        <w:left w:val="none" w:sz="0" w:space="0" w:color="auto"/>
        <w:bottom w:val="none" w:sz="0" w:space="0" w:color="auto"/>
        <w:right w:val="none" w:sz="0" w:space="0" w:color="auto"/>
      </w:divBdr>
      <w:divsChild>
        <w:div w:id="909460681">
          <w:marLeft w:val="0"/>
          <w:marRight w:val="0"/>
          <w:marTop w:val="0"/>
          <w:marBottom w:val="0"/>
          <w:divBdr>
            <w:top w:val="none" w:sz="0" w:space="0" w:color="auto"/>
            <w:left w:val="none" w:sz="0" w:space="0" w:color="auto"/>
            <w:bottom w:val="none" w:sz="0" w:space="0" w:color="auto"/>
            <w:right w:val="none" w:sz="0" w:space="0" w:color="auto"/>
          </w:divBdr>
        </w:div>
      </w:divsChild>
    </w:div>
    <w:div w:id="60520336">
      <w:bodyDiv w:val="1"/>
      <w:marLeft w:val="0"/>
      <w:marRight w:val="0"/>
      <w:marTop w:val="0"/>
      <w:marBottom w:val="0"/>
      <w:divBdr>
        <w:top w:val="none" w:sz="0" w:space="0" w:color="auto"/>
        <w:left w:val="none" w:sz="0" w:space="0" w:color="auto"/>
        <w:bottom w:val="none" w:sz="0" w:space="0" w:color="auto"/>
        <w:right w:val="none" w:sz="0" w:space="0" w:color="auto"/>
      </w:divBdr>
    </w:div>
    <w:div w:id="120461499">
      <w:bodyDiv w:val="1"/>
      <w:marLeft w:val="0"/>
      <w:marRight w:val="0"/>
      <w:marTop w:val="0"/>
      <w:marBottom w:val="0"/>
      <w:divBdr>
        <w:top w:val="none" w:sz="0" w:space="0" w:color="auto"/>
        <w:left w:val="none" w:sz="0" w:space="0" w:color="auto"/>
        <w:bottom w:val="none" w:sz="0" w:space="0" w:color="auto"/>
        <w:right w:val="none" w:sz="0" w:space="0" w:color="auto"/>
      </w:divBdr>
      <w:divsChild>
        <w:div w:id="736899205">
          <w:marLeft w:val="720"/>
          <w:marRight w:val="0"/>
          <w:marTop w:val="0"/>
          <w:marBottom w:val="0"/>
          <w:divBdr>
            <w:top w:val="none" w:sz="0" w:space="0" w:color="auto"/>
            <w:left w:val="none" w:sz="0" w:space="0" w:color="auto"/>
            <w:bottom w:val="none" w:sz="0" w:space="0" w:color="auto"/>
            <w:right w:val="none" w:sz="0" w:space="0" w:color="auto"/>
          </w:divBdr>
        </w:div>
      </w:divsChild>
    </w:div>
    <w:div w:id="131335921">
      <w:bodyDiv w:val="1"/>
      <w:marLeft w:val="0"/>
      <w:marRight w:val="0"/>
      <w:marTop w:val="0"/>
      <w:marBottom w:val="0"/>
      <w:divBdr>
        <w:top w:val="none" w:sz="0" w:space="0" w:color="auto"/>
        <w:left w:val="none" w:sz="0" w:space="0" w:color="auto"/>
        <w:bottom w:val="none" w:sz="0" w:space="0" w:color="auto"/>
        <w:right w:val="none" w:sz="0" w:space="0" w:color="auto"/>
      </w:divBdr>
      <w:divsChild>
        <w:div w:id="196084743">
          <w:marLeft w:val="0"/>
          <w:marRight w:val="0"/>
          <w:marTop w:val="0"/>
          <w:marBottom w:val="0"/>
          <w:divBdr>
            <w:top w:val="none" w:sz="0" w:space="0" w:color="auto"/>
            <w:left w:val="none" w:sz="0" w:space="0" w:color="auto"/>
            <w:bottom w:val="none" w:sz="0" w:space="0" w:color="auto"/>
            <w:right w:val="none" w:sz="0" w:space="0" w:color="auto"/>
          </w:divBdr>
          <w:divsChild>
            <w:div w:id="2091734399">
              <w:marLeft w:val="0"/>
              <w:marRight w:val="0"/>
              <w:marTop w:val="0"/>
              <w:marBottom w:val="0"/>
              <w:divBdr>
                <w:top w:val="none" w:sz="0" w:space="0" w:color="auto"/>
                <w:left w:val="none" w:sz="0" w:space="0" w:color="auto"/>
                <w:bottom w:val="none" w:sz="0" w:space="0" w:color="auto"/>
                <w:right w:val="none" w:sz="0" w:space="0" w:color="auto"/>
              </w:divBdr>
            </w:div>
          </w:divsChild>
        </w:div>
        <w:div w:id="302196221">
          <w:marLeft w:val="0"/>
          <w:marRight w:val="0"/>
          <w:marTop w:val="75"/>
          <w:marBottom w:val="0"/>
          <w:divBdr>
            <w:top w:val="none" w:sz="0" w:space="0" w:color="auto"/>
            <w:left w:val="none" w:sz="0" w:space="0" w:color="auto"/>
            <w:bottom w:val="none" w:sz="0" w:space="0" w:color="auto"/>
            <w:right w:val="none" w:sz="0" w:space="0" w:color="auto"/>
          </w:divBdr>
        </w:div>
        <w:div w:id="2047411624">
          <w:marLeft w:val="0"/>
          <w:marRight w:val="0"/>
          <w:marTop w:val="75"/>
          <w:marBottom w:val="0"/>
          <w:divBdr>
            <w:top w:val="none" w:sz="0" w:space="0" w:color="auto"/>
            <w:left w:val="none" w:sz="0" w:space="0" w:color="auto"/>
            <w:bottom w:val="none" w:sz="0" w:space="0" w:color="auto"/>
            <w:right w:val="none" w:sz="0" w:space="0" w:color="auto"/>
          </w:divBdr>
        </w:div>
      </w:divsChild>
    </w:div>
    <w:div w:id="205415703">
      <w:bodyDiv w:val="1"/>
      <w:marLeft w:val="0"/>
      <w:marRight w:val="0"/>
      <w:marTop w:val="0"/>
      <w:marBottom w:val="0"/>
      <w:divBdr>
        <w:top w:val="none" w:sz="0" w:space="0" w:color="auto"/>
        <w:left w:val="none" w:sz="0" w:space="0" w:color="auto"/>
        <w:bottom w:val="none" w:sz="0" w:space="0" w:color="auto"/>
        <w:right w:val="none" w:sz="0" w:space="0" w:color="auto"/>
      </w:divBdr>
    </w:div>
    <w:div w:id="231044327">
      <w:bodyDiv w:val="1"/>
      <w:marLeft w:val="0"/>
      <w:marRight w:val="0"/>
      <w:marTop w:val="0"/>
      <w:marBottom w:val="0"/>
      <w:divBdr>
        <w:top w:val="none" w:sz="0" w:space="0" w:color="auto"/>
        <w:left w:val="none" w:sz="0" w:space="0" w:color="auto"/>
        <w:bottom w:val="none" w:sz="0" w:space="0" w:color="auto"/>
        <w:right w:val="none" w:sz="0" w:space="0" w:color="auto"/>
      </w:divBdr>
    </w:div>
    <w:div w:id="245114281">
      <w:bodyDiv w:val="1"/>
      <w:marLeft w:val="0"/>
      <w:marRight w:val="0"/>
      <w:marTop w:val="0"/>
      <w:marBottom w:val="0"/>
      <w:divBdr>
        <w:top w:val="none" w:sz="0" w:space="0" w:color="auto"/>
        <w:left w:val="none" w:sz="0" w:space="0" w:color="auto"/>
        <w:bottom w:val="none" w:sz="0" w:space="0" w:color="auto"/>
        <w:right w:val="none" w:sz="0" w:space="0" w:color="auto"/>
      </w:divBdr>
    </w:div>
    <w:div w:id="279843190">
      <w:bodyDiv w:val="1"/>
      <w:marLeft w:val="0"/>
      <w:marRight w:val="0"/>
      <w:marTop w:val="0"/>
      <w:marBottom w:val="0"/>
      <w:divBdr>
        <w:top w:val="none" w:sz="0" w:space="0" w:color="auto"/>
        <w:left w:val="none" w:sz="0" w:space="0" w:color="auto"/>
        <w:bottom w:val="none" w:sz="0" w:space="0" w:color="auto"/>
        <w:right w:val="none" w:sz="0" w:space="0" w:color="auto"/>
      </w:divBdr>
      <w:divsChild>
        <w:div w:id="712391431">
          <w:marLeft w:val="0"/>
          <w:marRight w:val="0"/>
          <w:marTop w:val="0"/>
          <w:marBottom w:val="0"/>
          <w:divBdr>
            <w:top w:val="none" w:sz="0" w:space="0" w:color="auto"/>
            <w:left w:val="none" w:sz="0" w:space="0" w:color="auto"/>
            <w:bottom w:val="none" w:sz="0" w:space="0" w:color="auto"/>
            <w:right w:val="none" w:sz="0" w:space="0" w:color="auto"/>
          </w:divBdr>
        </w:div>
      </w:divsChild>
    </w:div>
    <w:div w:id="285702974">
      <w:bodyDiv w:val="1"/>
      <w:marLeft w:val="0"/>
      <w:marRight w:val="0"/>
      <w:marTop w:val="0"/>
      <w:marBottom w:val="0"/>
      <w:divBdr>
        <w:top w:val="none" w:sz="0" w:space="0" w:color="auto"/>
        <w:left w:val="none" w:sz="0" w:space="0" w:color="auto"/>
        <w:bottom w:val="none" w:sz="0" w:space="0" w:color="auto"/>
        <w:right w:val="none" w:sz="0" w:space="0" w:color="auto"/>
      </w:divBdr>
    </w:div>
    <w:div w:id="296226645">
      <w:bodyDiv w:val="1"/>
      <w:marLeft w:val="0"/>
      <w:marRight w:val="0"/>
      <w:marTop w:val="0"/>
      <w:marBottom w:val="0"/>
      <w:divBdr>
        <w:top w:val="none" w:sz="0" w:space="0" w:color="auto"/>
        <w:left w:val="none" w:sz="0" w:space="0" w:color="auto"/>
        <w:bottom w:val="none" w:sz="0" w:space="0" w:color="auto"/>
        <w:right w:val="none" w:sz="0" w:space="0" w:color="auto"/>
      </w:divBdr>
    </w:div>
    <w:div w:id="325399113">
      <w:bodyDiv w:val="1"/>
      <w:marLeft w:val="0"/>
      <w:marRight w:val="0"/>
      <w:marTop w:val="0"/>
      <w:marBottom w:val="0"/>
      <w:divBdr>
        <w:top w:val="none" w:sz="0" w:space="0" w:color="auto"/>
        <w:left w:val="none" w:sz="0" w:space="0" w:color="auto"/>
        <w:bottom w:val="none" w:sz="0" w:space="0" w:color="auto"/>
        <w:right w:val="none" w:sz="0" w:space="0" w:color="auto"/>
      </w:divBdr>
    </w:div>
    <w:div w:id="332994729">
      <w:bodyDiv w:val="1"/>
      <w:marLeft w:val="0"/>
      <w:marRight w:val="0"/>
      <w:marTop w:val="0"/>
      <w:marBottom w:val="0"/>
      <w:divBdr>
        <w:top w:val="none" w:sz="0" w:space="0" w:color="auto"/>
        <w:left w:val="none" w:sz="0" w:space="0" w:color="auto"/>
        <w:bottom w:val="none" w:sz="0" w:space="0" w:color="auto"/>
        <w:right w:val="none" w:sz="0" w:space="0" w:color="auto"/>
      </w:divBdr>
      <w:divsChild>
        <w:div w:id="1458523112">
          <w:marLeft w:val="0"/>
          <w:marRight w:val="0"/>
          <w:marTop w:val="0"/>
          <w:marBottom w:val="0"/>
          <w:divBdr>
            <w:top w:val="none" w:sz="0" w:space="0" w:color="auto"/>
            <w:left w:val="none" w:sz="0" w:space="0" w:color="auto"/>
            <w:bottom w:val="none" w:sz="0" w:space="0" w:color="auto"/>
            <w:right w:val="none" w:sz="0" w:space="0" w:color="auto"/>
          </w:divBdr>
        </w:div>
      </w:divsChild>
    </w:div>
    <w:div w:id="341014563">
      <w:bodyDiv w:val="1"/>
      <w:marLeft w:val="0"/>
      <w:marRight w:val="0"/>
      <w:marTop w:val="0"/>
      <w:marBottom w:val="0"/>
      <w:divBdr>
        <w:top w:val="none" w:sz="0" w:space="0" w:color="auto"/>
        <w:left w:val="none" w:sz="0" w:space="0" w:color="auto"/>
        <w:bottom w:val="none" w:sz="0" w:space="0" w:color="auto"/>
        <w:right w:val="none" w:sz="0" w:space="0" w:color="auto"/>
      </w:divBdr>
    </w:div>
    <w:div w:id="348875106">
      <w:bodyDiv w:val="1"/>
      <w:marLeft w:val="0"/>
      <w:marRight w:val="0"/>
      <w:marTop w:val="0"/>
      <w:marBottom w:val="0"/>
      <w:divBdr>
        <w:top w:val="none" w:sz="0" w:space="0" w:color="auto"/>
        <w:left w:val="none" w:sz="0" w:space="0" w:color="auto"/>
        <w:bottom w:val="none" w:sz="0" w:space="0" w:color="auto"/>
        <w:right w:val="none" w:sz="0" w:space="0" w:color="auto"/>
      </w:divBdr>
      <w:divsChild>
        <w:div w:id="922186107">
          <w:marLeft w:val="0"/>
          <w:marRight w:val="0"/>
          <w:marTop w:val="0"/>
          <w:marBottom w:val="0"/>
          <w:divBdr>
            <w:top w:val="none" w:sz="0" w:space="0" w:color="auto"/>
            <w:left w:val="none" w:sz="0" w:space="0" w:color="auto"/>
            <w:bottom w:val="none" w:sz="0" w:space="0" w:color="auto"/>
            <w:right w:val="none" w:sz="0" w:space="0" w:color="auto"/>
          </w:divBdr>
          <w:divsChild>
            <w:div w:id="1456487806">
              <w:marLeft w:val="0"/>
              <w:marRight w:val="0"/>
              <w:marTop w:val="0"/>
              <w:marBottom w:val="0"/>
              <w:divBdr>
                <w:top w:val="none" w:sz="0" w:space="0" w:color="auto"/>
                <w:left w:val="none" w:sz="0" w:space="0" w:color="auto"/>
                <w:bottom w:val="none" w:sz="0" w:space="0" w:color="auto"/>
                <w:right w:val="none" w:sz="0" w:space="0" w:color="auto"/>
              </w:divBdr>
              <w:divsChild>
                <w:div w:id="1615289009">
                  <w:marLeft w:val="0"/>
                  <w:marRight w:val="0"/>
                  <w:marTop w:val="0"/>
                  <w:marBottom w:val="0"/>
                  <w:divBdr>
                    <w:top w:val="none" w:sz="0" w:space="0" w:color="auto"/>
                    <w:left w:val="none" w:sz="0" w:space="0" w:color="auto"/>
                    <w:bottom w:val="none" w:sz="0" w:space="0" w:color="auto"/>
                    <w:right w:val="none" w:sz="0" w:space="0" w:color="auto"/>
                  </w:divBdr>
                  <w:divsChild>
                    <w:div w:id="6855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000072">
      <w:bodyDiv w:val="1"/>
      <w:marLeft w:val="0"/>
      <w:marRight w:val="0"/>
      <w:marTop w:val="0"/>
      <w:marBottom w:val="0"/>
      <w:divBdr>
        <w:top w:val="none" w:sz="0" w:space="0" w:color="auto"/>
        <w:left w:val="none" w:sz="0" w:space="0" w:color="auto"/>
        <w:bottom w:val="none" w:sz="0" w:space="0" w:color="auto"/>
        <w:right w:val="none" w:sz="0" w:space="0" w:color="auto"/>
      </w:divBdr>
    </w:div>
    <w:div w:id="391275699">
      <w:bodyDiv w:val="1"/>
      <w:marLeft w:val="0"/>
      <w:marRight w:val="0"/>
      <w:marTop w:val="0"/>
      <w:marBottom w:val="0"/>
      <w:divBdr>
        <w:top w:val="none" w:sz="0" w:space="0" w:color="auto"/>
        <w:left w:val="none" w:sz="0" w:space="0" w:color="auto"/>
        <w:bottom w:val="none" w:sz="0" w:space="0" w:color="auto"/>
        <w:right w:val="none" w:sz="0" w:space="0" w:color="auto"/>
      </w:divBdr>
      <w:divsChild>
        <w:div w:id="1873297526">
          <w:marLeft w:val="0"/>
          <w:marRight w:val="0"/>
          <w:marTop w:val="0"/>
          <w:marBottom w:val="0"/>
          <w:divBdr>
            <w:top w:val="none" w:sz="0" w:space="0" w:color="auto"/>
            <w:left w:val="none" w:sz="0" w:space="0" w:color="auto"/>
            <w:bottom w:val="none" w:sz="0" w:space="0" w:color="auto"/>
            <w:right w:val="none" w:sz="0" w:space="0" w:color="auto"/>
          </w:divBdr>
          <w:divsChild>
            <w:div w:id="446200370">
              <w:marLeft w:val="0"/>
              <w:marRight w:val="0"/>
              <w:marTop w:val="0"/>
              <w:marBottom w:val="0"/>
              <w:divBdr>
                <w:top w:val="none" w:sz="0" w:space="0" w:color="auto"/>
                <w:left w:val="none" w:sz="0" w:space="0" w:color="auto"/>
                <w:bottom w:val="none" w:sz="0" w:space="0" w:color="auto"/>
                <w:right w:val="none" w:sz="0" w:space="0" w:color="auto"/>
              </w:divBdr>
              <w:divsChild>
                <w:div w:id="420224566">
                  <w:marLeft w:val="0"/>
                  <w:marRight w:val="0"/>
                  <w:marTop w:val="0"/>
                  <w:marBottom w:val="0"/>
                  <w:divBdr>
                    <w:top w:val="none" w:sz="0" w:space="0" w:color="auto"/>
                    <w:left w:val="none" w:sz="0" w:space="0" w:color="auto"/>
                    <w:bottom w:val="none" w:sz="0" w:space="0" w:color="auto"/>
                    <w:right w:val="none" w:sz="0" w:space="0" w:color="auto"/>
                  </w:divBdr>
                  <w:divsChild>
                    <w:div w:id="1690065910">
                      <w:marLeft w:val="0"/>
                      <w:marRight w:val="0"/>
                      <w:marTop w:val="0"/>
                      <w:marBottom w:val="0"/>
                      <w:divBdr>
                        <w:top w:val="none" w:sz="0" w:space="0" w:color="auto"/>
                        <w:left w:val="none" w:sz="0" w:space="0" w:color="auto"/>
                        <w:bottom w:val="none" w:sz="0" w:space="0" w:color="auto"/>
                        <w:right w:val="none" w:sz="0" w:space="0" w:color="auto"/>
                      </w:divBdr>
                      <w:divsChild>
                        <w:div w:id="1165169331">
                          <w:marLeft w:val="0"/>
                          <w:marRight w:val="0"/>
                          <w:marTop w:val="0"/>
                          <w:marBottom w:val="0"/>
                          <w:divBdr>
                            <w:top w:val="none" w:sz="0" w:space="0" w:color="auto"/>
                            <w:left w:val="none" w:sz="0" w:space="0" w:color="auto"/>
                            <w:bottom w:val="none" w:sz="0" w:space="0" w:color="auto"/>
                            <w:right w:val="none" w:sz="0" w:space="0" w:color="auto"/>
                          </w:divBdr>
                          <w:divsChild>
                            <w:div w:id="1056202744">
                              <w:marLeft w:val="0"/>
                              <w:marRight w:val="0"/>
                              <w:marTop w:val="0"/>
                              <w:marBottom w:val="0"/>
                              <w:divBdr>
                                <w:top w:val="none" w:sz="0" w:space="0" w:color="auto"/>
                                <w:left w:val="none" w:sz="0" w:space="0" w:color="auto"/>
                                <w:bottom w:val="none" w:sz="0" w:space="0" w:color="auto"/>
                                <w:right w:val="none" w:sz="0" w:space="0" w:color="auto"/>
                              </w:divBdr>
                              <w:divsChild>
                                <w:div w:id="369303749">
                                  <w:marLeft w:val="0"/>
                                  <w:marRight w:val="0"/>
                                  <w:marTop w:val="0"/>
                                  <w:marBottom w:val="0"/>
                                  <w:divBdr>
                                    <w:top w:val="none" w:sz="0" w:space="0" w:color="auto"/>
                                    <w:left w:val="none" w:sz="0" w:space="0" w:color="auto"/>
                                    <w:bottom w:val="none" w:sz="0" w:space="0" w:color="auto"/>
                                    <w:right w:val="none" w:sz="0" w:space="0" w:color="auto"/>
                                  </w:divBdr>
                                  <w:divsChild>
                                    <w:div w:id="1156459570">
                                      <w:marLeft w:val="0"/>
                                      <w:marRight w:val="0"/>
                                      <w:marTop w:val="0"/>
                                      <w:marBottom w:val="0"/>
                                      <w:divBdr>
                                        <w:top w:val="none" w:sz="0" w:space="0" w:color="auto"/>
                                        <w:left w:val="none" w:sz="0" w:space="0" w:color="auto"/>
                                        <w:bottom w:val="none" w:sz="0" w:space="0" w:color="auto"/>
                                        <w:right w:val="none" w:sz="0" w:space="0" w:color="auto"/>
                                      </w:divBdr>
                                      <w:divsChild>
                                        <w:div w:id="1241716876">
                                          <w:marLeft w:val="0"/>
                                          <w:marRight w:val="0"/>
                                          <w:marTop w:val="0"/>
                                          <w:marBottom w:val="0"/>
                                          <w:divBdr>
                                            <w:top w:val="none" w:sz="0" w:space="0" w:color="auto"/>
                                            <w:left w:val="none" w:sz="0" w:space="0" w:color="auto"/>
                                            <w:bottom w:val="none" w:sz="0" w:space="0" w:color="auto"/>
                                            <w:right w:val="none" w:sz="0" w:space="0" w:color="auto"/>
                                          </w:divBdr>
                                          <w:divsChild>
                                            <w:div w:id="1388214072">
                                              <w:marLeft w:val="0"/>
                                              <w:marRight w:val="0"/>
                                              <w:marTop w:val="0"/>
                                              <w:marBottom w:val="0"/>
                                              <w:divBdr>
                                                <w:top w:val="none" w:sz="0" w:space="0" w:color="auto"/>
                                                <w:left w:val="none" w:sz="0" w:space="0" w:color="auto"/>
                                                <w:bottom w:val="none" w:sz="0" w:space="0" w:color="auto"/>
                                                <w:right w:val="none" w:sz="0" w:space="0" w:color="auto"/>
                                              </w:divBdr>
                                              <w:divsChild>
                                                <w:div w:id="765804777">
                                                  <w:marLeft w:val="0"/>
                                                  <w:marRight w:val="0"/>
                                                  <w:marTop w:val="0"/>
                                                  <w:marBottom w:val="0"/>
                                                  <w:divBdr>
                                                    <w:top w:val="none" w:sz="0" w:space="0" w:color="auto"/>
                                                    <w:left w:val="none" w:sz="0" w:space="0" w:color="auto"/>
                                                    <w:bottom w:val="none" w:sz="0" w:space="0" w:color="auto"/>
                                                    <w:right w:val="none" w:sz="0" w:space="0" w:color="auto"/>
                                                  </w:divBdr>
                                                  <w:divsChild>
                                                    <w:div w:id="1879391517">
                                                      <w:marLeft w:val="0"/>
                                                      <w:marRight w:val="0"/>
                                                      <w:marTop w:val="0"/>
                                                      <w:marBottom w:val="0"/>
                                                      <w:divBdr>
                                                        <w:top w:val="none" w:sz="0" w:space="0" w:color="auto"/>
                                                        <w:left w:val="none" w:sz="0" w:space="0" w:color="auto"/>
                                                        <w:bottom w:val="none" w:sz="0" w:space="0" w:color="auto"/>
                                                        <w:right w:val="none" w:sz="0" w:space="0" w:color="auto"/>
                                                      </w:divBdr>
                                                      <w:divsChild>
                                                        <w:div w:id="2034305221">
                                                          <w:marLeft w:val="0"/>
                                                          <w:marRight w:val="0"/>
                                                          <w:marTop w:val="100"/>
                                                          <w:marBottom w:val="100"/>
                                                          <w:divBdr>
                                                            <w:top w:val="none" w:sz="0" w:space="0" w:color="auto"/>
                                                            <w:left w:val="none" w:sz="0" w:space="0" w:color="auto"/>
                                                            <w:bottom w:val="none" w:sz="0" w:space="0" w:color="auto"/>
                                                            <w:right w:val="none" w:sz="0" w:space="0" w:color="auto"/>
                                                          </w:divBdr>
                                                          <w:divsChild>
                                                            <w:div w:id="1859006884">
                                                              <w:marLeft w:val="0"/>
                                                              <w:marRight w:val="0"/>
                                                              <w:marTop w:val="0"/>
                                                              <w:marBottom w:val="0"/>
                                                              <w:divBdr>
                                                                <w:top w:val="none" w:sz="0" w:space="0" w:color="auto"/>
                                                                <w:left w:val="none" w:sz="0" w:space="0" w:color="auto"/>
                                                                <w:bottom w:val="none" w:sz="0" w:space="0" w:color="auto"/>
                                                                <w:right w:val="none" w:sz="0" w:space="0" w:color="auto"/>
                                                              </w:divBdr>
                                                              <w:divsChild>
                                                                <w:div w:id="1994948116">
                                                                  <w:marLeft w:val="0"/>
                                                                  <w:marRight w:val="0"/>
                                                                  <w:marTop w:val="0"/>
                                                                  <w:marBottom w:val="0"/>
                                                                  <w:divBdr>
                                                                    <w:top w:val="none" w:sz="0" w:space="0" w:color="auto"/>
                                                                    <w:left w:val="none" w:sz="0" w:space="0" w:color="auto"/>
                                                                    <w:bottom w:val="none" w:sz="0" w:space="0" w:color="auto"/>
                                                                    <w:right w:val="none" w:sz="0" w:space="0" w:color="auto"/>
                                                                  </w:divBdr>
                                                                  <w:divsChild>
                                                                    <w:div w:id="2022392716">
                                                                      <w:marLeft w:val="0"/>
                                                                      <w:marRight w:val="0"/>
                                                                      <w:marTop w:val="0"/>
                                                                      <w:marBottom w:val="0"/>
                                                                      <w:divBdr>
                                                                        <w:top w:val="none" w:sz="0" w:space="0" w:color="auto"/>
                                                                        <w:left w:val="none" w:sz="0" w:space="0" w:color="auto"/>
                                                                        <w:bottom w:val="none" w:sz="0" w:space="0" w:color="auto"/>
                                                                        <w:right w:val="none" w:sz="0" w:space="0" w:color="auto"/>
                                                                      </w:divBdr>
                                                                      <w:divsChild>
                                                                        <w:div w:id="938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0204879">
      <w:bodyDiv w:val="1"/>
      <w:marLeft w:val="0"/>
      <w:marRight w:val="0"/>
      <w:marTop w:val="0"/>
      <w:marBottom w:val="0"/>
      <w:divBdr>
        <w:top w:val="none" w:sz="0" w:space="0" w:color="auto"/>
        <w:left w:val="none" w:sz="0" w:space="0" w:color="auto"/>
        <w:bottom w:val="none" w:sz="0" w:space="0" w:color="auto"/>
        <w:right w:val="none" w:sz="0" w:space="0" w:color="auto"/>
      </w:divBdr>
      <w:divsChild>
        <w:div w:id="1926255426">
          <w:marLeft w:val="0"/>
          <w:marRight w:val="0"/>
          <w:marTop w:val="0"/>
          <w:marBottom w:val="0"/>
          <w:divBdr>
            <w:top w:val="none" w:sz="0" w:space="0" w:color="auto"/>
            <w:left w:val="none" w:sz="0" w:space="0" w:color="auto"/>
            <w:bottom w:val="none" w:sz="0" w:space="0" w:color="auto"/>
            <w:right w:val="none" w:sz="0" w:space="0" w:color="auto"/>
          </w:divBdr>
          <w:divsChild>
            <w:div w:id="2117674707">
              <w:marLeft w:val="0"/>
              <w:marRight w:val="0"/>
              <w:marTop w:val="0"/>
              <w:marBottom w:val="0"/>
              <w:divBdr>
                <w:top w:val="none" w:sz="0" w:space="0" w:color="auto"/>
                <w:left w:val="none" w:sz="0" w:space="0" w:color="auto"/>
                <w:bottom w:val="none" w:sz="0" w:space="0" w:color="auto"/>
                <w:right w:val="none" w:sz="0" w:space="0" w:color="auto"/>
              </w:divBdr>
              <w:divsChild>
                <w:div w:id="86269835">
                  <w:marLeft w:val="0"/>
                  <w:marRight w:val="0"/>
                  <w:marTop w:val="0"/>
                  <w:marBottom w:val="0"/>
                  <w:divBdr>
                    <w:top w:val="none" w:sz="0" w:space="0" w:color="auto"/>
                    <w:left w:val="none" w:sz="0" w:space="0" w:color="auto"/>
                    <w:bottom w:val="none" w:sz="0" w:space="0" w:color="auto"/>
                    <w:right w:val="none" w:sz="0" w:space="0" w:color="auto"/>
                  </w:divBdr>
                  <w:divsChild>
                    <w:div w:id="1444226648">
                      <w:marLeft w:val="0"/>
                      <w:marRight w:val="0"/>
                      <w:marTop w:val="0"/>
                      <w:marBottom w:val="0"/>
                      <w:divBdr>
                        <w:top w:val="none" w:sz="0" w:space="0" w:color="auto"/>
                        <w:left w:val="none" w:sz="0" w:space="0" w:color="auto"/>
                        <w:bottom w:val="none" w:sz="0" w:space="0" w:color="auto"/>
                        <w:right w:val="none" w:sz="0" w:space="0" w:color="auto"/>
                      </w:divBdr>
                      <w:divsChild>
                        <w:div w:id="1825200880">
                          <w:marLeft w:val="0"/>
                          <w:marRight w:val="0"/>
                          <w:marTop w:val="0"/>
                          <w:marBottom w:val="0"/>
                          <w:divBdr>
                            <w:top w:val="none" w:sz="0" w:space="0" w:color="auto"/>
                            <w:left w:val="none" w:sz="0" w:space="0" w:color="auto"/>
                            <w:bottom w:val="none" w:sz="0" w:space="0" w:color="auto"/>
                            <w:right w:val="none" w:sz="0" w:space="0" w:color="auto"/>
                          </w:divBdr>
                          <w:divsChild>
                            <w:div w:id="1390154996">
                              <w:marLeft w:val="0"/>
                              <w:marRight w:val="0"/>
                              <w:marTop w:val="0"/>
                              <w:marBottom w:val="0"/>
                              <w:divBdr>
                                <w:top w:val="none" w:sz="0" w:space="0" w:color="auto"/>
                                <w:left w:val="none" w:sz="0" w:space="0" w:color="auto"/>
                                <w:bottom w:val="none" w:sz="0" w:space="0" w:color="auto"/>
                                <w:right w:val="none" w:sz="0" w:space="0" w:color="auto"/>
                              </w:divBdr>
                              <w:divsChild>
                                <w:div w:id="1627933216">
                                  <w:marLeft w:val="0"/>
                                  <w:marRight w:val="0"/>
                                  <w:marTop w:val="0"/>
                                  <w:marBottom w:val="0"/>
                                  <w:divBdr>
                                    <w:top w:val="none" w:sz="0" w:space="0" w:color="auto"/>
                                    <w:left w:val="none" w:sz="0" w:space="0" w:color="auto"/>
                                    <w:bottom w:val="none" w:sz="0" w:space="0" w:color="auto"/>
                                    <w:right w:val="none" w:sz="0" w:space="0" w:color="auto"/>
                                  </w:divBdr>
                                  <w:divsChild>
                                    <w:div w:id="1332683811">
                                      <w:marLeft w:val="0"/>
                                      <w:marRight w:val="0"/>
                                      <w:marTop w:val="0"/>
                                      <w:marBottom w:val="0"/>
                                      <w:divBdr>
                                        <w:top w:val="none" w:sz="0" w:space="0" w:color="auto"/>
                                        <w:left w:val="none" w:sz="0" w:space="0" w:color="auto"/>
                                        <w:bottom w:val="none" w:sz="0" w:space="0" w:color="auto"/>
                                        <w:right w:val="none" w:sz="0" w:space="0" w:color="auto"/>
                                      </w:divBdr>
                                      <w:divsChild>
                                        <w:div w:id="1621838792">
                                          <w:marLeft w:val="0"/>
                                          <w:marRight w:val="0"/>
                                          <w:marTop w:val="0"/>
                                          <w:marBottom w:val="0"/>
                                          <w:divBdr>
                                            <w:top w:val="none" w:sz="0" w:space="0" w:color="auto"/>
                                            <w:left w:val="none" w:sz="0" w:space="0" w:color="auto"/>
                                            <w:bottom w:val="none" w:sz="0" w:space="0" w:color="auto"/>
                                            <w:right w:val="none" w:sz="0" w:space="0" w:color="auto"/>
                                          </w:divBdr>
                                          <w:divsChild>
                                            <w:div w:id="445731725">
                                              <w:marLeft w:val="0"/>
                                              <w:marRight w:val="0"/>
                                              <w:marTop w:val="0"/>
                                              <w:marBottom w:val="0"/>
                                              <w:divBdr>
                                                <w:top w:val="none" w:sz="0" w:space="0" w:color="auto"/>
                                                <w:left w:val="none" w:sz="0" w:space="0" w:color="auto"/>
                                                <w:bottom w:val="none" w:sz="0" w:space="0" w:color="auto"/>
                                                <w:right w:val="none" w:sz="0" w:space="0" w:color="auto"/>
                                              </w:divBdr>
                                              <w:divsChild>
                                                <w:div w:id="1987394475">
                                                  <w:marLeft w:val="0"/>
                                                  <w:marRight w:val="0"/>
                                                  <w:marTop w:val="0"/>
                                                  <w:marBottom w:val="0"/>
                                                  <w:divBdr>
                                                    <w:top w:val="none" w:sz="0" w:space="0" w:color="auto"/>
                                                    <w:left w:val="none" w:sz="0" w:space="0" w:color="auto"/>
                                                    <w:bottom w:val="none" w:sz="0" w:space="0" w:color="auto"/>
                                                    <w:right w:val="none" w:sz="0" w:space="0" w:color="auto"/>
                                                  </w:divBdr>
                                                  <w:divsChild>
                                                    <w:div w:id="1689793259">
                                                      <w:marLeft w:val="0"/>
                                                      <w:marRight w:val="0"/>
                                                      <w:marTop w:val="0"/>
                                                      <w:marBottom w:val="0"/>
                                                      <w:divBdr>
                                                        <w:top w:val="none" w:sz="0" w:space="0" w:color="auto"/>
                                                        <w:left w:val="none" w:sz="0" w:space="0" w:color="auto"/>
                                                        <w:bottom w:val="none" w:sz="0" w:space="0" w:color="auto"/>
                                                        <w:right w:val="none" w:sz="0" w:space="0" w:color="auto"/>
                                                      </w:divBdr>
                                                      <w:divsChild>
                                                        <w:div w:id="1194150730">
                                                          <w:marLeft w:val="0"/>
                                                          <w:marRight w:val="0"/>
                                                          <w:marTop w:val="0"/>
                                                          <w:marBottom w:val="0"/>
                                                          <w:divBdr>
                                                            <w:top w:val="none" w:sz="0" w:space="0" w:color="auto"/>
                                                            <w:left w:val="none" w:sz="0" w:space="0" w:color="auto"/>
                                                            <w:bottom w:val="none" w:sz="0" w:space="0" w:color="auto"/>
                                                            <w:right w:val="none" w:sz="0" w:space="0" w:color="auto"/>
                                                          </w:divBdr>
                                                          <w:divsChild>
                                                            <w:div w:id="1280261166">
                                                              <w:marLeft w:val="0"/>
                                                              <w:marRight w:val="0"/>
                                                              <w:marTop w:val="0"/>
                                                              <w:marBottom w:val="0"/>
                                                              <w:divBdr>
                                                                <w:top w:val="none" w:sz="0" w:space="0" w:color="auto"/>
                                                                <w:left w:val="none" w:sz="0" w:space="0" w:color="auto"/>
                                                                <w:bottom w:val="none" w:sz="0" w:space="0" w:color="auto"/>
                                                                <w:right w:val="none" w:sz="0" w:space="0" w:color="auto"/>
                                                              </w:divBdr>
                                                              <w:divsChild>
                                                                <w:div w:id="426510218">
                                                                  <w:marLeft w:val="0"/>
                                                                  <w:marRight w:val="0"/>
                                                                  <w:marTop w:val="100"/>
                                                                  <w:marBottom w:val="100"/>
                                                                  <w:divBdr>
                                                                    <w:top w:val="none" w:sz="0" w:space="0" w:color="auto"/>
                                                                    <w:left w:val="none" w:sz="0" w:space="0" w:color="auto"/>
                                                                    <w:bottom w:val="none" w:sz="0" w:space="0" w:color="auto"/>
                                                                    <w:right w:val="none" w:sz="0" w:space="0" w:color="auto"/>
                                                                  </w:divBdr>
                                                                  <w:divsChild>
                                                                    <w:div w:id="2127499706">
                                                                      <w:marLeft w:val="0"/>
                                                                      <w:marRight w:val="0"/>
                                                                      <w:marTop w:val="0"/>
                                                                      <w:marBottom w:val="0"/>
                                                                      <w:divBdr>
                                                                        <w:top w:val="none" w:sz="0" w:space="0" w:color="auto"/>
                                                                        <w:left w:val="none" w:sz="0" w:space="0" w:color="auto"/>
                                                                        <w:bottom w:val="none" w:sz="0" w:space="0" w:color="auto"/>
                                                                        <w:right w:val="none" w:sz="0" w:space="0" w:color="auto"/>
                                                                      </w:divBdr>
                                                                      <w:divsChild>
                                                                        <w:div w:id="1914704480">
                                                                          <w:marLeft w:val="0"/>
                                                                          <w:marRight w:val="0"/>
                                                                          <w:marTop w:val="0"/>
                                                                          <w:marBottom w:val="0"/>
                                                                          <w:divBdr>
                                                                            <w:top w:val="none" w:sz="0" w:space="0" w:color="auto"/>
                                                                            <w:left w:val="none" w:sz="0" w:space="0" w:color="auto"/>
                                                                            <w:bottom w:val="none" w:sz="0" w:space="0" w:color="auto"/>
                                                                            <w:right w:val="none" w:sz="0" w:space="0" w:color="auto"/>
                                                                          </w:divBdr>
                                                                          <w:divsChild>
                                                                            <w:div w:id="1424254672">
                                                                              <w:marLeft w:val="0"/>
                                                                              <w:marRight w:val="0"/>
                                                                              <w:marTop w:val="0"/>
                                                                              <w:marBottom w:val="0"/>
                                                                              <w:divBdr>
                                                                                <w:top w:val="none" w:sz="0" w:space="0" w:color="auto"/>
                                                                                <w:left w:val="none" w:sz="0" w:space="0" w:color="auto"/>
                                                                                <w:bottom w:val="none" w:sz="0" w:space="0" w:color="auto"/>
                                                                                <w:right w:val="none" w:sz="0" w:space="0" w:color="auto"/>
                                                                              </w:divBdr>
                                                                              <w:divsChild>
                                                                                <w:div w:id="60708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8723398">
      <w:bodyDiv w:val="1"/>
      <w:marLeft w:val="0"/>
      <w:marRight w:val="0"/>
      <w:marTop w:val="0"/>
      <w:marBottom w:val="0"/>
      <w:divBdr>
        <w:top w:val="none" w:sz="0" w:space="0" w:color="auto"/>
        <w:left w:val="none" w:sz="0" w:space="0" w:color="auto"/>
        <w:bottom w:val="none" w:sz="0" w:space="0" w:color="auto"/>
        <w:right w:val="none" w:sz="0" w:space="0" w:color="auto"/>
      </w:divBdr>
    </w:div>
    <w:div w:id="443502557">
      <w:bodyDiv w:val="1"/>
      <w:marLeft w:val="0"/>
      <w:marRight w:val="0"/>
      <w:marTop w:val="0"/>
      <w:marBottom w:val="0"/>
      <w:divBdr>
        <w:top w:val="none" w:sz="0" w:space="0" w:color="auto"/>
        <w:left w:val="none" w:sz="0" w:space="0" w:color="auto"/>
        <w:bottom w:val="none" w:sz="0" w:space="0" w:color="auto"/>
        <w:right w:val="none" w:sz="0" w:space="0" w:color="auto"/>
      </w:divBdr>
    </w:div>
    <w:div w:id="461582852">
      <w:bodyDiv w:val="1"/>
      <w:marLeft w:val="0"/>
      <w:marRight w:val="0"/>
      <w:marTop w:val="0"/>
      <w:marBottom w:val="0"/>
      <w:divBdr>
        <w:top w:val="none" w:sz="0" w:space="0" w:color="auto"/>
        <w:left w:val="none" w:sz="0" w:space="0" w:color="auto"/>
        <w:bottom w:val="none" w:sz="0" w:space="0" w:color="auto"/>
        <w:right w:val="none" w:sz="0" w:space="0" w:color="auto"/>
      </w:divBdr>
    </w:div>
    <w:div w:id="495998348">
      <w:bodyDiv w:val="1"/>
      <w:marLeft w:val="0"/>
      <w:marRight w:val="0"/>
      <w:marTop w:val="0"/>
      <w:marBottom w:val="0"/>
      <w:divBdr>
        <w:top w:val="none" w:sz="0" w:space="0" w:color="auto"/>
        <w:left w:val="none" w:sz="0" w:space="0" w:color="auto"/>
        <w:bottom w:val="none" w:sz="0" w:space="0" w:color="auto"/>
        <w:right w:val="none" w:sz="0" w:space="0" w:color="auto"/>
      </w:divBdr>
    </w:div>
    <w:div w:id="496112989">
      <w:bodyDiv w:val="1"/>
      <w:marLeft w:val="0"/>
      <w:marRight w:val="0"/>
      <w:marTop w:val="0"/>
      <w:marBottom w:val="0"/>
      <w:divBdr>
        <w:top w:val="none" w:sz="0" w:space="0" w:color="auto"/>
        <w:left w:val="none" w:sz="0" w:space="0" w:color="auto"/>
        <w:bottom w:val="none" w:sz="0" w:space="0" w:color="auto"/>
        <w:right w:val="none" w:sz="0" w:space="0" w:color="auto"/>
      </w:divBdr>
      <w:divsChild>
        <w:div w:id="2012442883">
          <w:marLeft w:val="0"/>
          <w:marRight w:val="0"/>
          <w:marTop w:val="0"/>
          <w:marBottom w:val="0"/>
          <w:divBdr>
            <w:top w:val="none" w:sz="0" w:space="0" w:color="auto"/>
            <w:left w:val="none" w:sz="0" w:space="0" w:color="auto"/>
            <w:bottom w:val="none" w:sz="0" w:space="0" w:color="auto"/>
            <w:right w:val="none" w:sz="0" w:space="0" w:color="auto"/>
          </w:divBdr>
        </w:div>
      </w:divsChild>
    </w:div>
    <w:div w:id="518399802">
      <w:bodyDiv w:val="1"/>
      <w:marLeft w:val="0"/>
      <w:marRight w:val="0"/>
      <w:marTop w:val="0"/>
      <w:marBottom w:val="0"/>
      <w:divBdr>
        <w:top w:val="none" w:sz="0" w:space="0" w:color="auto"/>
        <w:left w:val="none" w:sz="0" w:space="0" w:color="auto"/>
        <w:bottom w:val="none" w:sz="0" w:space="0" w:color="auto"/>
        <w:right w:val="none" w:sz="0" w:space="0" w:color="auto"/>
      </w:divBdr>
    </w:div>
    <w:div w:id="543373134">
      <w:bodyDiv w:val="1"/>
      <w:marLeft w:val="0"/>
      <w:marRight w:val="0"/>
      <w:marTop w:val="0"/>
      <w:marBottom w:val="0"/>
      <w:divBdr>
        <w:top w:val="none" w:sz="0" w:space="0" w:color="auto"/>
        <w:left w:val="none" w:sz="0" w:space="0" w:color="auto"/>
        <w:bottom w:val="none" w:sz="0" w:space="0" w:color="auto"/>
        <w:right w:val="none" w:sz="0" w:space="0" w:color="auto"/>
      </w:divBdr>
    </w:div>
    <w:div w:id="549072187">
      <w:bodyDiv w:val="1"/>
      <w:marLeft w:val="0"/>
      <w:marRight w:val="0"/>
      <w:marTop w:val="0"/>
      <w:marBottom w:val="0"/>
      <w:divBdr>
        <w:top w:val="none" w:sz="0" w:space="0" w:color="auto"/>
        <w:left w:val="none" w:sz="0" w:space="0" w:color="auto"/>
        <w:bottom w:val="none" w:sz="0" w:space="0" w:color="auto"/>
        <w:right w:val="none" w:sz="0" w:space="0" w:color="auto"/>
      </w:divBdr>
    </w:div>
    <w:div w:id="609974271">
      <w:bodyDiv w:val="1"/>
      <w:marLeft w:val="0"/>
      <w:marRight w:val="0"/>
      <w:marTop w:val="0"/>
      <w:marBottom w:val="0"/>
      <w:divBdr>
        <w:top w:val="none" w:sz="0" w:space="0" w:color="auto"/>
        <w:left w:val="none" w:sz="0" w:space="0" w:color="auto"/>
        <w:bottom w:val="none" w:sz="0" w:space="0" w:color="auto"/>
        <w:right w:val="none" w:sz="0" w:space="0" w:color="auto"/>
      </w:divBdr>
    </w:div>
    <w:div w:id="639697831">
      <w:bodyDiv w:val="1"/>
      <w:marLeft w:val="0"/>
      <w:marRight w:val="0"/>
      <w:marTop w:val="0"/>
      <w:marBottom w:val="0"/>
      <w:divBdr>
        <w:top w:val="none" w:sz="0" w:space="0" w:color="auto"/>
        <w:left w:val="none" w:sz="0" w:space="0" w:color="auto"/>
        <w:bottom w:val="none" w:sz="0" w:space="0" w:color="auto"/>
        <w:right w:val="none" w:sz="0" w:space="0" w:color="auto"/>
      </w:divBdr>
    </w:div>
    <w:div w:id="670255213">
      <w:bodyDiv w:val="1"/>
      <w:marLeft w:val="0"/>
      <w:marRight w:val="0"/>
      <w:marTop w:val="0"/>
      <w:marBottom w:val="0"/>
      <w:divBdr>
        <w:top w:val="none" w:sz="0" w:space="0" w:color="auto"/>
        <w:left w:val="none" w:sz="0" w:space="0" w:color="auto"/>
        <w:bottom w:val="none" w:sz="0" w:space="0" w:color="auto"/>
        <w:right w:val="none" w:sz="0" w:space="0" w:color="auto"/>
      </w:divBdr>
    </w:div>
    <w:div w:id="731200779">
      <w:bodyDiv w:val="1"/>
      <w:marLeft w:val="0"/>
      <w:marRight w:val="0"/>
      <w:marTop w:val="0"/>
      <w:marBottom w:val="0"/>
      <w:divBdr>
        <w:top w:val="none" w:sz="0" w:space="0" w:color="auto"/>
        <w:left w:val="none" w:sz="0" w:space="0" w:color="auto"/>
        <w:bottom w:val="none" w:sz="0" w:space="0" w:color="auto"/>
        <w:right w:val="none" w:sz="0" w:space="0" w:color="auto"/>
      </w:divBdr>
    </w:div>
    <w:div w:id="740177474">
      <w:bodyDiv w:val="1"/>
      <w:marLeft w:val="0"/>
      <w:marRight w:val="0"/>
      <w:marTop w:val="0"/>
      <w:marBottom w:val="0"/>
      <w:divBdr>
        <w:top w:val="none" w:sz="0" w:space="0" w:color="auto"/>
        <w:left w:val="none" w:sz="0" w:space="0" w:color="auto"/>
        <w:bottom w:val="none" w:sz="0" w:space="0" w:color="auto"/>
        <w:right w:val="none" w:sz="0" w:space="0" w:color="auto"/>
      </w:divBdr>
      <w:divsChild>
        <w:div w:id="1861696484">
          <w:marLeft w:val="0"/>
          <w:marRight w:val="0"/>
          <w:marTop w:val="0"/>
          <w:marBottom w:val="0"/>
          <w:divBdr>
            <w:top w:val="none" w:sz="0" w:space="0" w:color="auto"/>
            <w:left w:val="none" w:sz="0" w:space="0" w:color="auto"/>
            <w:bottom w:val="none" w:sz="0" w:space="0" w:color="auto"/>
            <w:right w:val="none" w:sz="0" w:space="0" w:color="auto"/>
          </w:divBdr>
        </w:div>
      </w:divsChild>
    </w:div>
    <w:div w:id="783815285">
      <w:bodyDiv w:val="1"/>
      <w:marLeft w:val="0"/>
      <w:marRight w:val="0"/>
      <w:marTop w:val="0"/>
      <w:marBottom w:val="0"/>
      <w:divBdr>
        <w:top w:val="none" w:sz="0" w:space="0" w:color="auto"/>
        <w:left w:val="none" w:sz="0" w:space="0" w:color="auto"/>
        <w:bottom w:val="none" w:sz="0" w:space="0" w:color="auto"/>
        <w:right w:val="none" w:sz="0" w:space="0" w:color="auto"/>
      </w:divBdr>
    </w:div>
    <w:div w:id="799880272">
      <w:bodyDiv w:val="1"/>
      <w:marLeft w:val="0"/>
      <w:marRight w:val="0"/>
      <w:marTop w:val="0"/>
      <w:marBottom w:val="0"/>
      <w:divBdr>
        <w:top w:val="none" w:sz="0" w:space="0" w:color="auto"/>
        <w:left w:val="none" w:sz="0" w:space="0" w:color="auto"/>
        <w:bottom w:val="none" w:sz="0" w:space="0" w:color="auto"/>
        <w:right w:val="none" w:sz="0" w:space="0" w:color="auto"/>
      </w:divBdr>
    </w:div>
    <w:div w:id="813832015">
      <w:bodyDiv w:val="1"/>
      <w:marLeft w:val="0"/>
      <w:marRight w:val="0"/>
      <w:marTop w:val="0"/>
      <w:marBottom w:val="0"/>
      <w:divBdr>
        <w:top w:val="none" w:sz="0" w:space="0" w:color="auto"/>
        <w:left w:val="none" w:sz="0" w:space="0" w:color="auto"/>
        <w:bottom w:val="none" w:sz="0" w:space="0" w:color="auto"/>
        <w:right w:val="none" w:sz="0" w:space="0" w:color="auto"/>
      </w:divBdr>
    </w:div>
    <w:div w:id="815226147">
      <w:bodyDiv w:val="1"/>
      <w:marLeft w:val="0"/>
      <w:marRight w:val="0"/>
      <w:marTop w:val="0"/>
      <w:marBottom w:val="0"/>
      <w:divBdr>
        <w:top w:val="none" w:sz="0" w:space="0" w:color="auto"/>
        <w:left w:val="none" w:sz="0" w:space="0" w:color="auto"/>
        <w:bottom w:val="none" w:sz="0" w:space="0" w:color="auto"/>
        <w:right w:val="none" w:sz="0" w:space="0" w:color="auto"/>
      </w:divBdr>
      <w:divsChild>
        <w:div w:id="815024067">
          <w:marLeft w:val="0"/>
          <w:marRight w:val="0"/>
          <w:marTop w:val="0"/>
          <w:marBottom w:val="0"/>
          <w:divBdr>
            <w:top w:val="none" w:sz="0" w:space="0" w:color="auto"/>
            <w:left w:val="none" w:sz="0" w:space="0" w:color="auto"/>
            <w:bottom w:val="none" w:sz="0" w:space="0" w:color="auto"/>
            <w:right w:val="none" w:sz="0" w:space="0" w:color="auto"/>
          </w:divBdr>
          <w:divsChild>
            <w:div w:id="895966329">
              <w:marLeft w:val="0"/>
              <w:marRight w:val="0"/>
              <w:marTop w:val="0"/>
              <w:marBottom w:val="0"/>
              <w:divBdr>
                <w:top w:val="none" w:sz="0" w:space="0" w:color="auto"/>
                <w:left w:val="none" w:sz="0" w:space="0" w:color="auto"/>
                <w:bottom w:val="none" w:sz="0" w:space="0" w:color="auto"/>
                <w:right w:val="none" w:sz="0" w:space="0" w:color="auto"/>
              </w:divBdr>
              <w:divsChild>
                <w:div w:id="311833625">
                  <w:marLeft w:val="0"/>
                  <w:marRight w:val="150"/>
                  <w:marTop w:val="0"/>
                  <w:marBottom w:val="0"/>
                  <w:divBdr>
                    <w:top w:val="none" w:sz="0" w:space="0" w:color="auto"/>
                    <w:left w:val="none" w:sz="0" w:space="0" w:color="auto"/>
                    <w:bottom w:val="none" w:sz="0" w:space="0" w:color="auto"/>
                    <w:right w:val="none" w:sz="0" w:space="0" w:color="auto"/>
                  </w:divBdr>
                  <w:divsChild>
                    <w:div w:id="2065636985">
                      <w:marLeft w:val="375"/>
                      <w:marRight w:val="0"/>
                      <w:marTop w:val="240"/>
                      <w:marBottom w:val="0"/>
                      <w:divBdr>
                        <w:top w:val="none" w:sz="0" w:space="0" w:color="auto"/>
                        <w:left w:val="none" w:sz="0" w:space="0" w:color="auto"/>
                        <w:bottom w:val="none" w:sz="0" w:space="0" w:color="auto"/>
                        <w:right w:val="none" w:sz="0" w:space="0" w:color="auto"/>
                      </w:divBdr>
                      <w:divsChild>
                        <w:div w:id="1461462842">
                          <w:marLeft w:val="0"/>
                          <w:marRight w:val="0"/>
                          <w:marTop w:val="0"/>
                          <w:marBottom w:val="0"/>
                          <w:divBdr>
                            <w:top w:val="none" w:sz="0" w:space="0" w:color="auto"/>
                            <w:left w:val="none" w:sz="0" w:space="0" w:color="auto"/>
                            <w:bottom w:val="none" w:sz="0" w:space="0" w:color="auto"/>
                            <w:right w:val="none" w:sz="0" w:space="0" w:color="auto"/>
                          </w:divBdr>
                          <w:divsChild>
                            <w:div w:id="1038428549">
                              <w:marLeft w:val="0"/>
                              <w:marRight w:val="0"/>
                              <w:marTop w:val="0"/>
                              <w:marBottom w:val="0"/>
                              <w:divBdr>
                                <w:top w:val="none" w:sz="0" w:space="0" w:color="auto"/>
                                <w:left w:val="none" w:sz="0" w:space="0" w:color="auto"/>
                                <w:bottom w:val="none" w:sz="0" w:space="0" w:color="auto"/>
                                <w:right w:val="none" w:sz="0" w:space="0" w:color="auto"/>
                              </w:divBdr>
                              <w:divsChild>
                                <w:div w:id="427971044">
                                  <w:marLeft w:val="0"/>
                                  <w:marRight w:val="0"/>
                                  <w:marTop w:val="0"/>
                                  <w:marBottom w:val="0"/>
                                  <w:divBdr>
                                    <w:top w:val="none" w:sz="0" w:space="0" w:color="auto"/>
                                    <w:left w:val="none" w:sz="0" w:space="0" w:color="auto"/>
                                    <w:bottom w:val="none" w:sz="0" w:space="0" w:color="auto"/>
                                    <w:right w:val="none" w:sz="0" w:space="0" w:color="auto"/>
                                  </w:divBdr>
                                  <w:divsChild>
                                    <w:div w:id="1771848486">
                                      <w:marLeft w:val="0"/>
                                      <w:marRight w:val="0"/>
                                      <w:marTop w:val="0"/>
                                      <w:marBottom w:val="0"/>
                                      <w:divBdr>
                                        <w:top w:val="none" w:sz="0" w:space="0" w:color="auto"/>
                                        <w:left w:val="none" w:sz="0" w:space="0" w:color="auto"/>
                                        <w:bottom w:val="none" w:sz="0" w:space="0" w:color="auto"/>
                                        <w:right w:val="none" w:sz="0" w:space="0" w:color="auto"/>
                                      </w:divBdr>
                                      <w:divsChild>
                                        <w:div w:id="2111511496">
                                          <w:marLeft w:val="0"/>
                                          <w:marRight w:val="0"/>
                                          <w:marTop w:val="0"/>
                                          <w:marBottom w:val="0"/>
                                          <w:divBdr>
                                            <w:top w:val="none" w:sz="0" w:space="0" w:color="auto"/>
                                            <w:left w:val="none" w:sz="0" w:space="0" w:color="auto"/>
                                            <w:bottom w:val="none" w:sz="0" w:space="0" w:color="auto"/>
                                            <w:right w:val="none" w:sz="0" w:space="0" w:color="auto"/>
                                          </w:divBdr>
                                          <w:divsChild>
                                            <w:div w:id="1776245212">
                                              <w:marLeft w:val="0"/>
                                              <w:marRight w:val="0"/>
                                              <w:marTop w:val="0"/>
                                              <w:marBottom w:val="0"/>
                                              <w:divBdr>
                                                <w:top w:val="none" w:sz="0" w:space="0" w:color="auto"/>
                                                <w:left w:val="none" w:sz="0" w:space="0" w:color="auto"/>
                                                <w:bottom w:val="none" w:sz="0" w:space="0" w:color="auto"/>
                                                <w:right w:val="none" w:sz="0" w:space="0" w:color="auto"/>
                                              </w:divBdr>
                                              <w:divsChild>
                                                <w:div w:id="323626790">
                                                  <w:marLeft w:val="0"/>
                                                  <w:marRight w:val="0"/>
                                                  <w:marTop w:val="0"/>
                                                  <w:marBottom w:val="0"/>
                                                  <w:divBdr>
                                                    <w:top w:val="none" w:sz="0" w:space="0" w:color="auto"/>
                                                    <w:left w:val="none" w:sz="0" w:space="0" w:color="auto"/>
                                                    <w:bottom w:val="none" w:sz="0" w:space="0" w:color="auto"/>
                                                    <w:right w:val="none" w:sz="0" w:space="0" w:color="auto"/>
                                                  </w:divBdr>
                                                  <w:divsChild>
                                                    <w:div w:id="7984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0892838">
      <w:bodyDiv w:val="1"/>
      <w:marLeft w:val="0"/>
      <w:marRight w:val="0"/>
      <w:marTop w:val="0"/>
      <w:marBottom w:val="0"/>
      <w:divBdr>
        <w:top w:val="none" w:sz="0" w:space="0" w:color="auto"/>
        <w:left w:val="none" w:sz="0" w:space="0" w:color="auto"/>
        <w:bottom w:val="none" w:sz="0" w:space="0" w:color="auto"/>
        <w:right w:val="none" w:sz="0" w:space="0" w:color="auto"/>
      </w:divBdr>
    </w:div>
    <w:div w:id="843012188">
      <w:bodyDiv w:val="1"/>
      <w:marLeft w:val="0"/>
      <w:marRight w:val="0"/>
      <w:marTop w:val="0"/>
      <w:marBottom w:val="0"/>
      <w:divBdr>
        <w:top w:val="none" w:sz="0" w:space="0" w:color="auto"/>
        <w:left w:val="none" w:sz="0" w:space="0" w:color="auto"/>
        <w:bottom w:val="none" w:sz="0" w:space="0" w:color="auto"/>
        <w:right w:val="none" w:sz="0" w:space="0" w:color="auto"/>
      </w:divBdr>
    </w:div>
    <w:div w:id="873232710">
      <w:bodyDiv w:val="1"/>
      <w:marLeft w:val="0"/>
      <w:marRight w:val="0"/>
      <w:marTop w:val="0"/>
      <w:marBottom w:val="0"/>
      <w:divBdr>
        <w:top w:val="none" w:sz="0" w:space="0" w:color="auto"/>
        <w:left w:val="none" w:sz="0" w:space="0" w:color="auto"/>
        <w:bottom w:val="none" w:sz="0" w:space="0" w:color="auto"/>
        <w:right w:val="none" w:sz="0" w:space="0" w:color="auto"/>
      </w:divBdr>
    </w:div>
    <w:div w:id="910582777">
      <w:bodyDiv w:val="1"/>
      <w:marLeft w:val="0"/>
      <w:marRight w:val="0"/>
      <w:marTop w:val="0"/>
      <w:marBottom w:val="0"/>
      <w:divBdr>
        <w:top w:val="none" w:sz="0" w:space="0" w:color="auto"/>
        <w:left w:val="none" w:sz="0" w:space="0" w:color="auto"/>
        <w:bottom w:val="none" w:sz="0" w:space="0" w:color="auto"/>
        <w:right w:val="none" w:sz="0" w:space="0" w:color="auto"/>
      </w:divBdr>
    </w:div>
    <w:div w:id="957760007">
      <w:bodyDiv w:val="1"/>
      <w:marLeft w:val="0"/>
      <w:marRight w:val="0"/>
      <w:marTop w:val="0"/>
      <w:marBottom w:val="0"/>
      <w:divBdr>
        <w:top w:val="none" w:sz="0" w:space="0" w:color="auto"/>
        <w:left w:val="none" w:sz="0" w:space="0" w:color="auto"/>
        <w:bottom w:val="none" w:sz="0" w:space="0" w:color="auto"/>
        <w:right w:val="none" w:sz="0" w:space="0" w:color="auto"/>
      </w:divBdr>
    </w:div>
    <w:div w:id="959796198">
      <w:bodyDiv w:val="1"/>
      <w:marLeft w:val="0"/>
      <w:marRight w:val="0"/>
      <w:marTop w:val="0"/>
      <w:marBottom w:val="0"/>
      <w:divBdr>
        <w:top w:val="none" w:sz="0" w:space="0" w:color="auto"/>
        <w:left w:val="none" w:sz="0" w:space="0" w:color="auto"/>
        <w:bottom w:val="none" w:sz="0" w:space="0" w:color="auto"/>
        <w:right w:val="none" w:sz="0" w:space="0" w:color="auto"/>
      </w:divBdr>
    </w:div>
    <w:div w:id="980230095">
      <w:bodyDiv w:val="1"/>
      <w:marLeft w:val="0"/>
      <w:marRight w:val="0"/>
      <w:marTop w:val="0"/>
      <w:marBottom w:val="0"/>
      <w:divBdr>
        <w:top w:val="none" w:sz="0" w:space="0" w:color="auto"/>
        <w:left w:val="none" w:sz="0" w:space="0" w:color="auto"/>
        <w:bottom w:val="none" w:sz="0" w:space="0" w:color="auto"/>
        <w:right w:val="none" w:sz="0" w:space="0" w:color="auto"/>
      </w:divBdr>
    </w:div>
    <w:div w:id="997346076">
      <w:bodyDiv w:val="1"/>
      <w:marLeft w:val="0"/>
      <w:marRight w:val="0"/>
      <w:marTop w:val="0"/>
      <w:marBottom w:val="0"/>
      <w:divBdr>
        <w:top w:val="none" w:sz="0" w:space="0" w:color="auto"/>
        <w:left w:val="none" w:sz="0" w:space="0" w:color="auto"/>
        <w:bottom w:val="none" w:sz="0" w:space="0" w:color="auto"/>
        <w:right w:val="none" w:sz="0" w:space="0" w:color="auto"/>
      </w:divBdr>
    </w:div>
    <w:div w:id="1000617854">
      <w:bodyDiv w:val="1"/>
      <w:marLeft w:val="0"/>
      <w:marRight w:val="0"/>
      <w:marTop w:val="0"/>
      <w:marBottom w:val="0"/>
      <w:divBdr>
        <w:top w:val="none" w:sz="0" w:space="0" w:color="auto"/>
        <w:left w:val="none" w:sz="0" w:space="0" w:color="auto"/>
        <w:bottom w:val="none" w:sz="0" w:space="0" w:color="auto"/>
        <w:right w:val="none" w:sz="0" w:space="0" w:color="auto"/>
      </w:divBdr>
    </w:div>
    <w:div w:id="1002703649">
      <w:bodyDiv w:val="1"/>
      <w:marLeft w:val="0"/>
      <w:marRight w:val="0"/>
      <w:marTop w:val="0"/>
      <w:marBottom w:val="0"/>
      <w:divBdr>
        <w:top w:val="none" w:sz="0" w:space="0" w:color="auto"/>
        <w:left w:val="none" w:sz="0" w:space="0" w:color="auto"/>
        <w:bottom w:val="none" w:sz="0" w:space="0" w:color="auto"/>
        <w:right w:val="none" w:sz="0" w:space="0" w:color="auto"/>
      </w:divBdr>
    </w:div>
    <w:div w:id="1020593291">
      <w:bodyDiv w:val="1"/>
      <w:marLeft w:val="0"/>
      <w:marRight w:val="0"/>
      <w:marTop w:val="0"/>
      <w:marBottom w:val="0"/>
      <w:divBdr>
        <w:top w:val="none" w:sz="0" w:space="0" w:color="auto"/>
        <w:left w:val="none" w:sz="0" w:space="0" w:color="auto"/>
        <w:bottom w:val="none" w:sz="0" w:space="0" w:color="auto"/>
        <w:right w:val="none" w:sz="0" w:space="0" w:color="auto"/>
      </w:divBdr>
    </w:div>
    <w:div w:id="1024984869">
      <w:bodyDiv w:val="1"/>
      <w:marLeft w:val="0"/>
      <w:marRight w:val="0"/>
      <w:marTop w:val="0"/>
      <w:marBottom w:val="0"/>
      <w:divBdr>
        <w:top w:val="none" w:sz="0" w:space="0" w:color="auto"/>
        <w:left w:val="none" w:sz="0" w:space="0" w:color="auto"/>
        <w:bottom w:val="none" w:sz="0" w:space="0" w:color="auto"/>
        <w:right w:val="none" w:sz="0" w:space="0" w:color="auto"/>
      </w:divBdr>
    </w:div>
    <w:div w:id="1045326486">
      <w:bodyDiv w:val="1"/>
      <w:marLeft w:val="0"/>
      <w:marRight w:val="0"/>
      <w:marTop w:val="0"/>
      <w:marBottom w:val="0"/>
      <w:divBdr>
        <w:top w:val="none" w:sz="0" w:space="0" w:color="auto"/>
        <w:left w:val="none" w:sz="0" w:space="0" w:color="auto"/>
        <w:bottom w:val="none" w:sz="0" w:space="0" w:color="auto"/>
        <w:right w:val="none" w:sz="0" w:space="0" w:color="auto"/>
      </w:divBdr>
    </w:div>
    <w:div w:id="1079598791">
      <w:bodyDiv w:val="1"/>
      <w:marLeft w:val="0"/>
      <w:marRight w:val="0"/>
      <w:marTop w:val="0"/>
      <w:marBottom w:val="0"/>
      <w:divBdr>
        <w:top w:val="none" w:sz="0" w:space="0" w:color="auto"/>
        <w:left w:val="none" w:sz="0" w:space="0" w:color="auto"/>
        <w:bottom w:val="none" w:sz="0" w:space="0" w:color="auto"/>
        <w:right w:val="none" w:sz="0" w:space="0" w:color="auto"/>
      </w:divBdr>
    </w:div>
    <w:div w:id="1090926849">
      <w:bodyDiv w:val="1"/>
      <w:marLeft w:val="0"/>
      <w:marRight w:val="0"/>
      <w:marTop w:val="0"/>
      <w:marBottom w:val="0"/>
      <w:divBdr>
        <w:top w:val="none" w:sz="0" w:space="0" w:color="auto"/>
        <w:left w:val="none" w:sz="0" w:space="0" w:color="auto"/>
        <w:bottom w:val="none" w:sz="0" w:space="0" w:color="auto"/>
        <w:right w:val="none" w:sz="0" w:space="0" w:color="auto"/>
      </w:divBdr>
    </w:div>
    <w:div w:id="1130366366">
      <w:bodyDiv w:val="1"/>
      <w:marLeft w:val="0"/>
      <w:marRight w:val="0"/>
      <w:marTop w:val="0"/>
      <w:marBottom w:val="0"/>
      <w:divBdr>
        <w:top w:val="none" w:sz="0" w:space="0" w:color="auto"/>
        <w:left w:val="none" w:sz="0" w:space="0" w:color="auto"/>
        <w:bottom w:val="none" w:sz="0" w:space="0" w:color="auto"/>
        <w:right w:val="none" w:sz="0" w:space="0" w:color="auto"/>
      </w:divBdr>
    </w:div>
    <w:div w:id="1141993848">
      <w:bodyDiv w:val="1"/>
      <w:marLeft w:val="0"/>
      <w:marRight w:val="0"/>
      <w:marTop w:val="0"/>
      <w:marBottom w:val="0"/>
      <w:divBdr>
        <w:top w:val="none" w:sz="0" w:space="0" w:color="auto"/>
        <w:left w:val="none" w:sz="0" w:space="0" w:color="auto"/>
        <w:bottom w:val="none" w:sz="0" w:space="0" w:color="auto"/>
        <w:right w:val="none" w:sz="0" w:space="0" w:color="auto"/>
      </w:divBdr>
    </w:div>
    <w:div w:id="1172642070">
      <w:bodyDiv w:val="1"/>
      <w:marLeft w:val="0"/>
      <w:marRight w:val="0"/>
      <w:marTop w:val="0"/>
      <w:marBottom w:val="0"/>
      <w:divBdr>
        <w:top w:val="none" w:sz="0" w:space="0" w:color="auto"/>
        <w:left w:val="none" w:sz="0" w:space="0" w:color="auto"/>
        <w:bottom w:val="none" w:sz="0" w:space="0" w:color="auto"/>
        <w:right w:val="none" w:sz="0" w:space="0" w:color="auto"/>
      </w:divBdr>
      <w:divsChild>
        <w:div w:id="1976831943">
          <w:marLeft w:val="720"/>
          <w:marRight w:val="0"/>
          <w:marTop w:val="0"/>
          <w:marBottom w:val="0"/>
          <w:divBdr>
            <w:top w:val="none" w:sz="0" w:space="0" w:color="auto"/>
            <w:left w:val="none" w:sz="0" w:space="0" w:color="auto"/>
            <w:bottom w:val="none" w:sz="0" w:space="0" w:color="auto"/>
            <w:right w:val="none" w:sz="0" w:space="0" w:color="auto"/>
          </w:divBdr>
        </w:div>
        <w:div w:id="2114132352">
          <w:marLeft w:val="720"/>
          <w:marRight w:val="0"/>
          <w:marTop w:val="0"/>
          <w:marBottom w:val="0"/>
          <w:divBdr>
            <w:top w:val="none" w:sz="0" w:space="0" w:color="auto"/>
            <w:left w:val="none" w:sz="0" w:space="0" w:color="auto"/>
            <w:bottom w:val="none" w:sz="0" w:space="0" w:color="auto"/>
            <w:right w:val="none" w:sz="0" w:space="0" w:color="auto"/>
          </w:divBdr>
        </w:div>
      </w:divsChild>
    </w:div>
    <w:div w:id="1196425959">
      <w:bodyDiv w:val="1"/>
      <w:marLeft w:val="0"/>
      <w:marRight w:val="0"/>
      <w:marTop w:val="0"/>
      <w:marBottom w:val="0"/>
      <w:divBdr>
        <w:top w:val="none" w:sz="0" w:space="0" w:color="auto"/>
        <w:left w:val="none" w:sz="0" w:space="0" w:color="auto"/>
        <w:bottom w:val="none" w:sz="0" w:space="0" w:color="auto"/>
        <w:right w:val="none" w:sz="0" w:space="0" w:color="auto"/>
      </w:divBdr>
    </w:div>
    <w:div w:id="1208100294">
      <w:bodyDiv w:val="1"/>
      <w:marLeft w:val="0"/>
      <w:marRight w:val="0"/>
      <w:marTop w:val="0"/>
      <w:marBottom w:val="0"/>
      <w:divBdr>
        <w:top w:val="none" w:sz="0" w:space="0" w:color="auto"/>
        <w:left w:val="none" w:sz="0" w:space="0" w:color="auto"/>
        <w:bottom w:val="none" w:sz="0" w:space="0" w:color="auto"/>
        <w:right w:val="none" w:sz="0" w:space="0" w:color="auto"/>
      </w:divBdr>
    </w:div>
    <w:div w:id="1238590182">
      <w:bodyDiv w:val="1"/>
      <w:marLeft w:val="0"/>
      <w:marRight w:val="0"/>
      <w:marTop w:val="0"/>
      <w:marBottom w:val="0"/>
      <w:divBdr>
        <w:top w:val="none" w:sz="0" w:space="0" w:color="auto"/>
        <w:left w:val="none" w:sz="0" w:space="0" w:color="auto"/>
        <w:bottom w:val="none" w:sz="0" w:space="0" w:color="auto"/>
        <w:right w:val="none" w:sz="0" w:space="0" w:color="auto"/>
      </w:divBdr>
    </w:div>
    <w:div w:id="1242639332">
      <w:bodyDiv w:val="1"/>
      <w:marLeft w:val="0"/>
      <w:marRight w:val="0"/>
      <w:marTop w:val="0"/>
      <w:marBottom w:val="0"/>
      <w:divBdr>
        <w:top w:val="none" w:sz="0" w:space="0" w:color="auto"/>
        <w:left w:val="none" w:sz="0" w:space="0" w:color="auto"/>
        <w:bottom w:val="none" w:sz="0" w:space="0" w:color="auto"/>
        <w:right w:val="none" w:sz="0" w:space="0" w:color="auto"/>
      </w:divBdr>
    </w:div>
    <w:div w:id="1248076262">
      <w:bodyDiv w:val="1"/>
      <w:marLeft w:val="0"/>
      <w:marRight w:val="0"/>
      <w:marTop w:val="0"/>
      <w:marBottom w:val="0"/>
      <w:divBdr>
        <w:top w:val="none" w:sz="0" w:space="0" w:color="auto"/>
        <w:left w:val="none" w:sz="0" w:space="0" w:color="auto"/>
        <w:bottom w:val="none" w:sz="0" w:space="0" w:color="auto"/>
        <w:right w:val="none" w:sz="0" w:space="0" w:color="auto"/>
      </w:divBdr>
    </w:div>
    <w:div w:id="1275938213">
      <w:bodyDiv w:val="1"/>
      <w:marLeft w:val="0"/>
      <w:marRight w:val="0"/>
      <w:marTop w:val="0"/>
      <w:marBottom w:val="0"/>
      <w:divBdr>
        <w:top w:val="none" w:sz="0" w:space="0" w:color="auto"/>
        <w:left w:val="none" w:sz="0" w:space="0" w:color="auto"/>
        <w:bottom w:val="none" w:sz="0" w:space="0" w:color="auto"/>
        <w:right w:val="none" w:sz="0" w:space="0" w:color="auto"/>
      </w:divBdr>
      <w:divsChild>
        <w:div w:id="899173467">
          <w:marLeft w:val="0"/>
          <w:marRight w:val="0"/>
          <w:marTop w:val="0"/>
          <w:marBottom w:val="0"/>
          <w:divBdr>
            <w:top w:val="none" w:sz="0" w:space="0" w:color="auto"/>
            <w:left w:val="none" w:sz="0" w:space="0" w:color="auto"/>
            <w:bottom w:val="none" w:sz="0" w:space="0" w:color="auto"/>
            <w:right w:val="none" w:sz="0" w:space="0" w:color="auto"/>
          </w:divBdr>
        </w:div>
      </w:divsChild>
    </w:div>
    <w:div w:id="1294408617">
      <w:bodyDiv w:val="1"/>
      <w:marLeft w:val="0"/>
      <w:marRight w:val="0"/>
      <w:marTop w:val="0"/>
      <w:marBottom w:val="0"/>
      <w:divBdr>
        <w:top w:val="none" w:sz="0" w:space="0" w:color="auto"/>
        <w:left w:val="none" w:sz="0" w:space="0" w:color="auto"/>
        <w:bottom w:val="none" w:sz="0" w:space="0" w:color="auto"/>
        <w:right w:val="none" w:sz="0" w:space="0" w:color="auto"/>
      </w:divBdr>
      <w:divsChild>
        <w:div w:id="1951431400">
          <w:marLeft w:val="0"/>
          <w:marRight w:val="0"/>
          <w:marTop w:val="0"/>
          <w:marBottom w:val="0"/>
          <w:divBdr>
            <w:top w:val="none" w:sz="0" w:space="0" w:color="auto"/>
            <w:left w:val="none" w:sz="0" w:space="0" w:color="auto"/>
            <w:bottom w:val="none" w:sz="0" w:space="0" w:color="auto"/>
            <w:right w:val="none" w:sz="0" w:space="0" w:color="auto"/>
          </w:divBdr>
          <w:divsChild>
            <w:div w:id="1241134160">
              <w:marLeft w:val="0"/>
              <w:marRight w:val="0"/>
              <w:marTop w:val="0"/>
              <w:marBottom w:val="0"/>
              <w:divBdr>
                <w:top w:val="none" w:sz="0" w:space="0" w:color="auto"/>
                <w:left w:val="none" w:sz="0" w:space="0" w:color="auto"/>
                <w:bottom w:val="none" w:sz="0" w:space="0" w:color="auto"/>
                <w:right w:val="none" w:sz="0" w:space="0" w:color="auto"/>
              </w:divBdr>
              <w:divsChild>
                <w:div w:id="337972804">
                  <w:marLeft w:val="0"/>
                  <w:marRight w:val="0"/>
                  <w:marTop w:val="0"/>
                  <w:marBottom w:val="0"/>
                  <w:divBdr>
                    <w:top w:val="none" w:sz="0" w:space="0" w:color="auto"/>
                    <w:left w:val="none" w:sz="0" w:space="0" w:color="auto"/>
                    <w:bottom w:val="none" w:sz="0" w:space="0" w:color="auto"/>
                    <w:right w:val="none" w:sz="0" w:space="0" w:color="auto"/>
                  </w:divBdr>
                  <w:divsChild>
                    <w:div w:id="665599197">
                      <w:marLeft w:val="0"/>
                      <w:marRight w:val="0"/>
                      <w:marTop w:val="0"/>
                      <w:marBottom w:val="0"/>
                      <w:divBdr>
                        <w:top w:val="none" w:sz="0" w:space="0" w:color="auto"/>
                        <w:left w:val="none" w:sz="0" w:space="0" w:color="auto"/>
                        <w:bottom w:val="none" w:sz="0" w:space="0" w:color="auto"/>
                        <w:right w:val="none" w:sz="0" w:space="0" w:color="auto"/>
                      </w:divBdr>
                      <w:divsChild>
                        <w:div w:id="1111702343">
                          <w:marLeft w:val="0"/>
                          <w:marRight w:val="0"/>
                          <w:marTop w:val="0"/>
                          <w:marBottom w:val="0"/>
                          <w:divBdr>
                            <w:top w:val="none" w:sz="0" w:space="0" w:color="auto"/>
                            <w:left w:val="none" w:sz="0" w:space="0" w:color="auto"/>
                            <w:bottom w:val="none" w:sz="0" w:space="0" w:color="auto"/>
                            <w:right w:val="none" w:sz="0" w:space="0" w:color="auto"/>
                          </w:divBdr>
                          <w:divsChild>
                            <w:div w:id="83575337">
                              <w:marLeft w:val="0"/>
                              <w:marRight w:val="0"/>
                              <w:marTop w:val="0"/>
                              <w:marBottom w:val="0"/>
                              <w:divBdr>
                                <w:top w:val="none" w:sz="0" w:space="0" w:color="auto"/>
                                <w:left w:val="none" w:sz="0" w:space="0" w:color="auto"/>
                                <w:bottom w:val="none" w:sz="0" w:space="0" w:color="auto"/>
                                <w:right w:val="none" w:sz="0" w:space="0" w:color="auto"/>
                              </w:divBdr>
                              <w:divsChild>
                                <w:div w:id="759329573">
                                  <w:marLeft w:val="0"/>
                                  <w:marRight w:val="0"/>
                                  <w:marTop w:val="0"/>
                                  <w:marBottom w:val="0"/>
                                  <w:divBdr>
                                    <w:top w:val="none" w:sz="0" w:space="0" w:color="auto"/>
                                    <w:left w:val="none" w:sz="0" w:space="0" w:color="auto"/>
                                    <w:bottom w:val="none" w:sz="0" w:space="0" w:color="auto"/>
                                    <w:right w:val="none" w:sz="0" w:space="0" w:color="auto"/>
                                  </w:divBdr>
                                  <w:divsChild>
                                    <w:div w:id="149292564">
                                      <w:marLeft w:val="0"/>
                                      <w:marRight w:val="0"/>
                                      <w:marTop w:val="0"/>
                                      <w:marBottom w:val="0"/>
                                      <w:divBdr>
                                        <w:top w:val="none" w:sz="0" w:space="0" w:color="auto"/>
                                        <w:left w:val="none" w:sz="0" w:space="0" w:color="auto"/>
                                        <w:bottom w:val="none" w:sz="0" w:space="0" w:color="auto"/>
                                        <w:right w:val="none" w:sz="0" w:space="0" w:color="auto"/>
                                      </w:divBdr>
                                      <w:divsChild>
                                        <w:div w:id="1935936933">
                                          <w:marLeft w:val="0"/>
                                          <w:marRight w:val="0"/>
                                          <w:marTop w:val="0"/>
                                          <w:marBottom w:val="0"/>
                                          <w:divBdr>
                                            <w:top w:val="none" w:sz="0" w:space="0" w:color="auto"/>
                                            <w:left w:val="none" w:sz="0" w:space="0" w:color="auto"/>
                                            <w:bottom w:val="none" w:sz="0" w:space="0" w:color="auto"/>
                                            <w:right w:val="none" w:sz="0" w:space="0" w:color="auto"/>
                                          </w:divBdr>
                                          <w:divsChild>
                                            <w:div w:id="1296137164">
                                              <w:marLeft w:val="0"/>
                                              <w:marRight w:val="0"/>
                                              <w:marTop w:val="0"/>
                                              <w:marBottom w:val="0"/>
                                              <w:divBdr>
                                                <w:top w:val="none" w:sz="0" w:space="0" w:color="auto"/>
                                                <w:left w:val="none" w:sz="0" w:space="0" w:color="auto"/>
                                                <w:bottom w:val="none" w:sz="0" w:space="0" w:color="auto"/>
                                                <w:right w:val="none" w:sz="0" w:space="0" w:color="auto"/>
                                              </w:divBdr>
                                              <w:divsChild>
                                                <w:div w:id="1092242543">
                                                  <w:marLeft w:val="0"/>
                                                  <w:marRight w:val="0"/>
                                                  <w:marTop w:val="0"/>
                                                  <w:marBottom w:val="0"/>
                                                  <w:divBdr>
                                                    <w:top w:val="none" w:sz="0" w:space="0" w:color="auto"/>
                                                    <w:left w:val="none" w:sz="0" w:space="0" w:color="auto"/>
                                                    <w:bottom w:val="none" w:sz="0" w:space="0" w:color="auto"/>
                                                    <w:right w:val="none" w:sz="0" w:space="0" w:color="auto"/>
                                                  </w:divBdr>
                                                  <w:divsChild>
                                                    <w:div w:id="124083058">
                                                      <w:marLeft w:val="0"/>
                                                      <w:marRight w:val="0"/>
                                                      <w:marTop w:val="0"/>
                                                      <w:marBottom w:val="0"/>
                                                      <w:divBdr>
                                                        <w:top w:val="none" w:sz="0" w:space="0" w:color="auto"/>
                                                        <w:left w:val="none" w:sz="0" w:space="0" w:color="auto"/>
                                                        <w:bottom w:val="none" w:sz="0" w:space="0" w:color="auto"/>
                                                        <w:right w:val="none" w:sz="0" w:space="0" w:color="auto"/>
                                                      </w:divBdr>
                                                      <w:divsChild>
                                                        <w:div w:id="199710242">
                                                          <w:marLeft w:val="0"/>
                                                          <w:marRight w:val="0"/>
                                                          <w:marTop w:val="100"/>
                                                          <w:marBottom w:val="100"/>
                                                          <w:divBdr>
                                                            <w:top w:val="none" w:sz="0" w:space="0" w:color="auto"/>
                                                            <w:left w:val="none" w:sz="0" w:space="0" w:color="auto"/>
                                                            <w:bottom w:val="none" w:sz="0" w:space="0" w:color="auto"/>
                                                            <w:right w:val="none" w:sz="0" w:space="0" w:color="auto"/>
                                                          </w:divBdr>
                                                          <w:divsChild>
                                                            <w:div w:id="780565606">
                                                              <w:marLeft w:val="0"/>
                                                              <w:marRight w:val="0"/>
                                                              <w:marTop w:val="0"/>
                                                              <w:marBottom w:val="0"/>
                                                              <w:divBdr>
                                                                <w:top w:val="none" w:sz="0" w:space="0" w:color="auto"/>
                                                                <w:left w:val="none" w:sz="0" w:space="0" w:color="auto"/>
                                                                <w:bottom w:val="none" w:sz="0" w:space="0" w:color="auto"/>
                                                                <w:right w:val="none" w:sz="0" w:space="0" w:color="auto"/>
                                                              </w:divBdr>
                                                              <w:divsChild>
                                                                <w:div w:id="541794094">
                                                                  <w:marLeft w:val="0"/>
                                                                  <w:marRight w:val="0"/>
                                                                  <w:marTop w:val="0"/>
                                                                  <w:marBottom w:val="0"/>
                                                                  <w:divBdr>
                                                                    <w:top w:val="none" w:sz="0" w:space="0" w:color="auto"/>
                                                                    <w:left w:val="none" w:sz="0" w:space="0" w:color="auto"/>
                                                                    <w:bottom w:val="none" w:sz="0" w:space="0" w:color="auto"/>
                                                                    <w:right w:val="none" w:sz="0" w:space="0" w:color="auto"/>
                                                                  </w:divBdr>
                                                                  <w:divsChild>
                                                                    <w:div w:id="2084447048">
                                                                      <w:marLeft w:val="0"/>
                                                                      <w:marRight w:val="0"/>
                                                                      <w:marTop w:val="0"/>
                                                                      <w:marBottom w:val="0"/>
                                                                      <w:divBdr>
                                                                        <w:top w:val="none" w:sz="0" w:space="0" w:color="auto"/>
                                                                        <w:left w:val="none" w:sz="0" w:space="0" w:color="auto"/>
                                                                        <w:bottom w:val="none" w:sz="0" w:space="0" w:color="auto"/>
                                                                        <w:right w:val="none" w:sz="0" w:space="0" w:color="auto"/>
                                                                      </w:divBdr>
                                                                      <w:divsChild>
                                                                        <w:div w:id="15495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0260564">
      <w:bodyDiv w:val="1"/>
      <w:marLeft w:val="0"/>
      <w:marRight w:val="0"/>
      <w:marTop w:val="0"/>
      <w:marBottom w:val="0"/>
      <w:divBdr>
        <w:top w:val="none" w:sz="0" w:space="0" w:color="auto"/>
        <w:left w:val="none" w:sz="0" w:space="0" w:color="auto"/>
        <w:bottom w:val="none" w:sz="0" w:space="0" w:color="auto"/>
        <w:right w:val="none" w:sz="0" w:space="0" w:color="auto"/>
      </w:divBdr>
    </w:div>
    <w:div w:id="1326318956">
      <w:bodyDiv w:val="1"/>
      <w:marLeft w:val="0"/>
      <w:marRight w:val="0"/>
      <w:marTop w:val="0"/>
      <w:marBottom w:val="0"/>
      <w:divBdr>
        <w:top w:val="none" w:sz="0" w:space="0" w:color="auto"/>
        <w:left w:val="none" w:sz="0" w:space="0" w:color="auto"/>
        <w:bottom w:val="none" w:sz="0" w:space="0" w:color="auto"/>
        <w:right w:val="none" w:sz="0" w:space="0" w:color="auto"/>
      </w:divBdr>
    </w:div>
    <w:div w:id="1352537614">
      <w:bodyDiv w:val="1"/>
      <w:marLeft w:val="0"/>
      <w:marRight w:val="0"/>
      <w:marTop w:val="0"/>
      <w:marBottom w:val="0"/>
      <w:divBdr>
        <w:top w:val="none" w:sz="0" w:space="0" w:color="auto"/>
        <w:left w:val="none" w:sz="0" w:space="0" w:color="auto"/>
        <w:bottom w:val="none" w:sz="0" w:space="0" w:color="auto"/>
        <w:right w:val="none" w:sz="0" w:space="0" w:color="auto"/>
      </w:divBdr>
    </w:div>
    <w:div w:id="1393500626">
      <w:bodyDiv w:val="1"/>
      <w:marLeft w:val="0"/>
      <w:marRight w:val="0"/>
      <w:marTop w:val="0"/>
      <w:marBottom w:val="0"/>
      <w:divBdr>
        <w:top w:val="none" w:sz="0" w:space="0" w:color="auto"/>
        <w:left w:val="none" w:sz="0" w:space="0" w:color="auto"/>
        <w:bottom w:val="none" w:sz="0" w:space="0" w:color="auto"/>
        <w:right w:val="none" w:sz="0" w:space="0" w:color="auto"/>
      </w:divBdr>
    </w:div>
    <w:div w:id="1418790502">
      <w:bodyDiv w:val="1"/>
      <w:marLeft w:val="0"/>
      <w:marRight w:val="0"/>
      <w:marTop w:val="0"/>
      <w:marBottom w:val="0"/>
      <w:divBdr>
        <w:top w:val="none" w:sz="0" w:space="0" w:color="auto"/>
        <w:left w:val="none" w:sz="0" w:space="0" w:color="auto"/>
        <w:bottom w:val="none" w:sz="0" w:space="0" w:color="auto"/>
        <w:right w:val="none" w:sz="0" w:space="0" w:color="auto"/>
      </w:divBdr>
    </w:div>
    <w:div w:id="1422601085">
      <w:bodyDiv w:val="1"/>
      <w:marLeft w:val="0"/>
      <w:marRight w:val="0"/>
      <w:marTop w:val="0"/>
      <w:marBottom w:val="0"/>
      <w:divBdr>
        <w:top w:val="none" w:sz="0" w:space="0" w:color="auto"/>
        <w:left w:val="none" w:sz="0" w:space="0" w:color="auto"/>
        <w:bottom w:val="none" w:sz="0" w:space="0" w:color="auto"/>
        <w:right w:val="none" w:sz="0" w:space="0" w:color="auto"/>
      </w:divBdr>
    </w:div>
    <w:div w:id="1424493074">
      <w:bodyDiv w:val="1"/>
      <w:marLeft w:val="0"/>
      <w:marRight w:val="0"/>
      <w:marTop w:val="0"/>
      <w:marBottom w:val="0"/>
      <w:divBdr>
        <w:top w:val="none" w:sz="0" w:space="0" w:color="auto"/>
        <w:left w:val="none" w:sz="0" w:space="0" w:color="auto"/>
        <w:bottom w:val="none" w:sz="0" w:space="0" w:color="auto"/>
        <w:right w:val="none" w:sz="0" w:space="0" w:color="auto"/>
      </w:divBdr>
      <w:divsChild>
        <w:div w:id="2059355526">
          <w:marLeft w:val="547"/>
          <w:marRight w:val="0"/>
          <w:marTop w:val="60"/>
          <w:marBottom w:val="60"/>
          <w:divBdr>
            <w:top w:val="none" w:sz="0" w:space="0" w:color="auto"/>
            <w:left w:val="none" w:sz="0" w:space="0" w:color="auto"/>
            <w:bottom w:val="none" w:sz="0" w:space="0" w:color="auto"/>
            <w:right w:val="none" w:sz="0" w:space="0" w:color="auto"/>
          </w:divBdr>
        </w:div>
      </w:divsChild>
    </w:div>
    <w:div w:id="1467360181">
      <w:bodyDiv w:val="1"/>
      <w:marLeft w:val="0"/>
      <w:marRight w:val="0"/>
      <w:marTop w:val="0"/>
      <w:marBottom w:val="0"/>
      <w:divBdr>
        <w:top w:val="none" w:sz="0" w:space="0" w:color="auto"/>
        <w:left w:val="none" w:sz="0" w:space="0" w:color="auto"/>
        <w:bottom w:val="none" w:sz="0" w:space="0" w:color="auto"/>
        <w:right w:val="none" w:sz="0" w:space="0" w:color="auto"/>
      </w:divBdr>
    </w:div>
    <w:div w:id="1472287956">
      <w:bodyDiv w:val="1"/>
      <w:marLeft w:val="0"/>
      <w:marRight w:val="0"/>
      <w:marTop w:val="0"/>
      <w:marBottom w:val="0"/>
      <w:divBdr>
        <w:top w:val="none" w:sz="0" w:space="0" w:color="auto"/>
        <w:left w:val="none" w:sz="0" w:space="0" w:color="auto"/>
        <w:bottom w:val="none" w:sz="0" w:space="0" w:color="auto"/>
        <w:right w:val="none" w:sz="0" w:space="0" w:color="auto"/>
      </w:divBdr>
    </w:div>
    <w:div w:id="1511798707">
      <w:bodyDiv w:val="1"/>
      <w:marLeft w:val="0"/>
      <w:marRight w:val="0"/>
      <w:marTop w:val="0"/>
      <w:marBottom w:val="0"/>
      <w:divBdr>
        <w:top w:val="none" w:sz="0" w:space="0" w:color="auto"/>
        <w:left w:val="none" w:sz="0" w:space="0" w:color="auto"/>
        <w:bottom w:val="none" w:sz="0" w:space="0" w:color="auto"/>
        <w:right w:val="none" w:sz="0" w:space="0" w:color="auto"/>
      </w:divBdr>
    </w:div>
    <w:div w:id="1513716473">
      <w:bodyDiv w:val="1"/>
      <w:marLeft w:val="0"/>
      <w:marRight w:val="0"/>
      <w:marTop w:val="0"/>
      <w:marBottom w:val="0"/>
      <w:divBdr>
        <w:top w:val="none" w:sz="0" w:space="0" w:color="auto"/>
        <w:left w:val="none" w:sz="0" w:space="0" w:color="auto"/>
        <w:bottom w:val="none" w:sz="0" w:space="0" w:color="auto"/>
        <w:right w:val="none" w:sz="0" w:space="0" w:color="auto"/>
      </w:divBdr>
      <w:divsChild>
        <w:div w:id="569081290">
          <w:marLeft w:val="0"/>
          <w:marRight w:val="0"/>
          <w:marTop w:val="0"/>
          <w:marBottom w:val="0"/>
          <w:divBdr>
            <w:top w:val="none" w:sz="0" w:space="0" w:color="auto"/>
            <w:left w:val="none" w:sz="0" w:space="0" w:color="auto"/>
            <w:bottom w:val="none" w:sz="0" w:space="0" w:color="auto"/>
            <w:right w:val="none" w:sz="0" w:space="0" w:color="auto"/>
          </w:divBdr>
        </w:div>
      </w:divsChild>
    </w:div>
    <w:div w:id="1560824710">
      <w:bodyDiv w:val="1"/>
      <w:marLeft w:val="0"/>
      <w:marRight w:val="0"/>
      <w:marTop w:val="0"/>
      <w:marBottom w:val="0"/>
      <w:divBdr>
        <w:top w:val="none" w:sz="0" w:space="0" w:color="auto"/>
        <w:left w:val="none" w:sz="0" w:space="0" w:color="auto"/>
        <w:bottom w:val="none" w:sz="0" w:space="0" w:color="auto"/>
        <w:right w:val="none" w:sz="0" w:space="0" w:color="auto"/>
      </w:divBdr>
    </w:div>
    <w:div w:id="1589733315">
      <w:bodyDiv w:val="1"/>
      <w:marLeft w:val="0"/>
      <w:marRight w:val="0"/>
      <w:marTop w:val="0"/>
      <w:marBottom w:val="0"/>
      <w:divBdr>
        <w:top w:val="none" w:sz="0" w:space="0" w:color="auto"/>
        <w:left w:val="none" w:sz="0" w:space="0" w:color="auto"/>
        <w:bottom w:val="none" w:sz="0" w:space="0" w:color="auto"/>
        <w:right w:val="none" w:sz="0" w:space="0" w:color="auto"/>
      </w:divBdr>
    </w:div>
    <w:div w:id="1594360257">
      <w:bodyDiv w:val="1"/>
      <w:marLeft w:val="0"/>
      <w:marRight w:val="0"/>
      <w:marTop w:val="0"/>
      <w:marBottom w:val="0"/>
      <w:divBdr>
        <w:top w:val="none" w:sz="0" w:space="0" w:color="auto"/>
        <w:left w:val="none" w:sz="0" w:space="0" w:color="auto"/>
        <w:bottom w:val="none" w:sz="0" w:space="0" w:color="auto"/>
        <w:right w:val="none" w:sz="0" w:space="0" w:color="auto"/>
      </w:divBdr>
      <w:divsChild>
        <w:div w:id="646133706">
          <w:marLeft w:val="0"/>
          <w:marRight w:val="0"/>
          <w:marTop w:val="0"/>
          <w:marBottom w:val="0"/>
          <w:divBdr>
            <w:top w:val="none" w:sz="0" w:space="0" w:color="auto"/>
            <w:left w:val="none" w:sz="0" w:space="0" w:color="auto"/>
            <w:bottom w:val="none" w:sz="0" w:space="0" w:color="auto"/>
            <w:right w:val="none" w:sz="0" w:space="0" w:color="auto"/>
          </w:divBdr>
        </w:div>
      </w:divsChild>
    </w:div>
    <w:div w:id="1600680751">
      <w:bodyDiv w:val="1"/>
      <w:marLeft w:val="0"/>
      <w:marRight w:val="0"/>
      <w:marTop w:val="0"/>
      <w:marBottom w:val="0"/>
      <w:divBdr>
        <w:top w:val="none" w:sz="0" w:space="0" w:color="auto"/>
        <w:left w:val="none" w:sz="0" w:space="0" w:color="auto"/>
        <w:bottom w:val="none" w:sz="0" w:space="0" w:color="auto"/>
        <w:right w:val="none" w:sz="0" w:space="0" w:color="auto"/>
      </w:divBdr>
    </w:div>
    <w:div w:id="1605915965">
      <w:bodyDiv w:val="1"/>
      <w:marLeft w:val="0"/>
      <w:marRight w:val="0"/>
      <w:marTop w:val="0"/>
      <w:marBottom w:val="0"/>
      <w:divBdr>
        <w:top w:val="none" w:sz="0" w:space="0" w:color="auto"/>
        <w:left w:val="none" w:sz="0" w:space="0" w:color="auto"/>
        <w:bottom w:val="none" w:sz="0" w:space="0" w:color="auto"/>
        <w:right w:val="none" w:sz="0" w:space="0" w:color="auto"/>
      </w:divBdr>
    </w:div>
    <w:div w:id="1607956782">
      <w:bodyDiv w:val="1"/>
      <w:marLeft w:val="0"/>
      <w:marRight w:val="0"/>
      <w:marTop w:val="0"/>
      <w:marBottom w:val="0"/>
      <w:divBdr>
        <w:top w:val="none" w:sz="0" w:space="0" w:color="auto"/>
        <w:left w:val="none" w:sz="0" w:space="0" w:color="auto"/>
        <w:bottom w:val="none" w:sz="0" w:space="0" w:color="auto"/>
        <w:right w:val="none" w:sz="0" w:space="0" w:color="auto"/>
      </w:divBdr>
      <w:divsChild>
        <w:div w:id="77486195">
          <w:marLeft w:val="0"/>
          <w:marRight w:val="0"/>
          <w:marTop w:val="0"/>
          <w:marBottom w:val="0"/>
          <w:divBdr>
            <w:top w:val="none" w:sz="0" w:space="0" w:color="auto"/>
            <w:left w:val="none" w:sz="0" w:space="0" w:color="auto"/>
            <w:bottom w:val="none" w:sz="0" w:space="0" w:color="auto"/>
            <w:right w:val="none" w:sz="0" w:space="0" w:color="auto"/>
          </w:divBdr>
        </w:div>
      </w:divsChild>
    </w:div>
    <w:div w:id="1632705927">
      <w:bodyDiv w:val="1"/>
      <w:marLeft w:val="0"/>
      <w:marRight w:val="0"/>
      <w:marTop w:val="0"/>
      <w:marBottom w:val="0"/>
      <w:divBdr>
        <w:top w:val="none" w:sz="0" w:space="0" w:color="auto"/>
        <w:left w:val="none" w:sz="0" w:space="0" w:color="auto"/>
        <w:bottom w:val="none" w:sz="0" w:space="0" w:color="auto"/>
        <w:right w:val="none" w:sz="0" w:space="0" w:color="auto"/>
      </w:divBdr>
    </w:div>
    <w:div w:id="1642886207">
      <w:bodyDiv w:val="1"/>
      <w:marLeft w:val="0"/>
      <w:marRight w:val="0"/>
      <w:marTop w:val="0"/>
      <w:marBottom w:val="0"/>
      <w:divBdr>
        <w:top w:val="none" w:sz="0" w:space="0" w:color="auto"/>
        <w:left w:val="none" w:sz="0" w:space="0" w:color="auto"/>
        <w:bottom w:val="none" w:sz="0" w:space="0" w:color="auto"/>
        <w:right w:val="none" w:sz="0" w:space="0" w:color="auto"/>
      </w:divBdr>
    </w:div>
    <w:div w:id="1644461410">
      <w:bodyDiv w:val="1"/>
      <w:marLeft w:val="0"/>
      <w:marRight w:val="0"/>
      <w:marTop w:val="0"/>
      <w:marBottom w:val="0"/>
      <w:divBdr>
        <w:top w:val="none" w:sz="0" w:space="0" w:color="auto"/>
        <w:left w:val="none" w:sz="0" w:space="0" w:color="auto"/>
        <w:bottom w:val="none" w:sz="0" w:space="0" w:color="auto"/>
        <w:right w:val="none" w:sz="0" w:space="0" w:color="auto"/>
      </w:divBdr>
    </w:div>
    <w:div w:id="1650357063">
      <w:bodyDiv w:val="1"/>
      <w:marLeft w:val="0"/>
      <w:marRight w:val="0"/>
      <w:marTop w:val="0"/>
      <w:marBottom w:val="0"/>
      <w:divBdr>
        <w:top w:val="none" w:sz="0" w:space="0" w:color="auto"/>
        <w:left w:val="none" w:sz="0" w:space="0" w:color="auto"/>
        <w:bottom w:val="none" w:sz="0" w:space="0" w:color="auto"/>
        <w:right w:val="none" w:sz="0" w:space="0" w:color="auto"/>
      </w:divBdr>
    </w:div>
    <w:div w:id="1657150019">
      <w:bodyDiv w:val="1"/>
      <w:marLeft w:val="0"/>
      <w:marRight w:val="0"/>
      <w:marTop w:val="0"/>
      <w:marBottom w:val="0"/>
      <w:divBdr>
        <w:top w:val="none" w:sz="0" w:space="0" w:color="auto"/>
        <w:left w:val="none" w:sz="0" w:space="0" w:color="auto"/>
        <w:bottom w:val="none" w:sz="0" w:space="0" w:color="auto"/>
        <w:right w:val="none" w:sz="0" w:space="0" w:color="auto"/>
      </w:divBdr>
      <w:divsChild>
        <w:div w:id="1162156029">
          <w:marLeft w:val="0"/>
          <w:marRight w:val="0"/>
          <w:marTop w:val="0"/>
          <w:marBottom w:val="0"/>
          <w:divBdr>
            <w:top w:val="none" w:sz="0" w:space="0" w:color="auto"/>
            <w:left w:val="none" w:sz="0" w:space="0" w:color="auto"/>
            <w:bottom w:val="none" w:sz="0" w:space="0" w:color="auto"/>
            <w:right w:val="none" w:sz="0" w:space="0" w:color="auto"/>
          </w:divBdr>
        </w:div>
      </w:divsChild>
    </w:div>
    <w:div w:id="1661155559">
      <w:bodyDiv w:val="1"/>
      <w:marLeft w:val="0"/>
      <w:marRight w:val="0"/>
      <w:marTop w:val="0"/>
      <w:marBottom w:val="0"/>
      <w:divBdr>
        <w:top w:val="none" w:sz="0" w:space="0" w:color="auto"/>
        <w:left w:val="none" w:sz="0" w:space="0" w:color="auto"/>
        <w:bottom w:val="none" w:sz="0" w:space="0" w:color="auto"/>
        <w:right w:val="none" w:sz="0" w:space="0" w:color="auto"/>
      </w:divBdr>
    </w:div>
    <w:div w:id="1669823989">
      <w:bodyDiv w:val="1"/>
      <w:marLeft w:val="0"/>
      <w:marRight w:val="0"/>
      <w:marTop w:val="0"/>
      <w:marBottom w:val="0"/>
      <w:divBdr>
        <w:top w:val="none" w:sz="0" w:space="0" w:color="auto"/>
        <w:left w:val="none" w:sz="0" w:space="0" w:color="auto"/>
        <w:bottom w:val="none" w:sz="0" w:space="0" w:color="auto"/>
        <w:right w:val="none" w:sz="0" w:space="0" w:color="auto"/>
      </w:divBdr>
      <w:divsChild>
        <w:div w:id="2016108867">
          <w:marLeft w:val="0"/>
          <w:marRight w:val="0"/>
          <w:marTop w:val="0"/>
          <w:marBottom w:val="0"/>
          <w:divBdr>
            <w:top w:val="none" w:sz="0" w:space="0" w:color="auto"/>
            <w:left w:val="none" w:sz="0" w:space="0" w:color="auto"/>
            <w:bottom w:val="none" w:sz="0" w:space="0" w:color="auto"/>
            <w:right w:val="none" w:sz="0" w:space="0" w:color="auto"/>
          </w:divBdr>
        </w:div>
      </w:divsChild>
    </w:div>
    <w:div w:id="1696881760">
      <w:bodyDiv w:val="1"/>
      <w:marLeft w:val="0"/>
      <w:marRight w:val="0"/>
      <w:marTop w:val="0"/>
      <w:marBottom w:val="0"/>
      <w:divBdr>
        <w:top w:val="none" w:sz="0" w:space="0" w:color="auto"/>
        <w:left w:val="none" w:sz="0" w:space="0" w:color="auto"/>
        <w:bottom w:val="none" w:sz="0" w:space="0" w:color="auto"/>
        <w:right w:val="none" w:sz="0" w:space="0" w:color="auto"/>
      </w:divBdr>
      <w:divsChild>
        <w:div w:id="1728331673">
          <w:marLeft w:val="0"/>
          <w:marRight w:val="0"/>
          <w:marTop w:val="0"/>
          <w:marBottom w:val="0"/>
          <w:divBdr>
            <w:top w:val="none" w:sz="0" w:space="0" w:color="auto"/>
            <w:left w:val="none" w:sz="0" w:space="0" w:color="auto"/>
            <w:bottom w:val="none" w:sz="0" w:space="0" w:color="auto"/>
            <w:right w:val="none" w:sz="0" w:space="0" w:color="auto"/>
          </w:divBdr>
          <w:divsChild>
            <w:div w:id="344133762">
              <w:marLeft w:val="0"/>
              <w:marRight w:val="0"/>
              <w:marTop w:val="0"/>
              <w:marBottom w:val="0"/>
              <w:divBdr>
                <w:top w:val="none" w:sz="0" w:space="0" w:color="auto"/>
                <w:left w:val="none" w:sz="0" w:space="0" w:color="auto"/>
                <w:bottom w:val="none" w:sz="0" w:space="0" w:color="auto"/>
                <w:right w:val="none" w:sz="0" w:space="0" w:color="auto"/>
              </w:divBdr>
              <w:divsChild>
                <w:div w:id="1612935850">
                  <w:marLeft w:val="0"/>
                  <w:marRight w:val="0"/>
                  <w:marTop w:val="0"/>
                  <w:marBottom w:val="0"/>
                  <w:divBdr>
                    <w:top w:val="none" w:sz="0" w:space="0" w:color="auto"/>
                    <w:left w:val="none" w:sz="0" w:space="0" w:color="auto"/>
                    <w:bottom w:val="none" w:sz="0" w:space="0" w:color="auto"/>
                    <w:right w:val="none" w:sz="0" w:space="0" w:color="auto"/>
                  </w:divBdr>
                  <w:divsChild>
                    <w:div w:id="1972712037">
                      <w:marLeft w:val="0"/>
                      <w:marRight w:val="0"/>
                      <w:marTop w:val="0"/>
                      <w:marBottom w:val="0"/>
                      <w:divBdr>
                        <w:top w:val="none" w:sz="0" w:space="0" w:color="auto"/>
                        <w:left w:val="none" w:sz="0" w:space="0" w:color="auto"/>
                        <w:bottom w:val="none" w:sz="0" w:space="0" w:color="auto"/>
                        <w:right w:val="none" w:sz="0" w:space="0" w:color="auto"/>
                      </w:divBdr>
                      <w:divsChild>
                        <w:div w:id="735661551">
                          <w:marLeft w:val="0"/>
                          <w:marRight w:val="0"/>
                          <w:marTop w:val="0"/>
                          <w:marBottom w:val="0"/>
                          <w:divBdr>
                            <w:top w:val="none" w:sz="0" w:space="0" w:color="auto"/>
                            <w:left w:val="none" w:sz="0" w:space="0" w:color="auto"/>
                            <w:bottom w:val="none" w:sz="0" w:space="0" w:color="auto"/>
                            <w:right w:val="none" w:sz="0" w:space="0" w:color="auto"/>
                          </w:divBdr>
                          <w:divsChild>
                            <w:div w:id="7560513">
                              <w:marLeft w:val="0"/>
                              <w:marRight w:val="0"/>
                              <w:marTop w:val="0"/>
                              <w:marBottom w:val="0"/>
                              <w:divBdr>
                                <w:top w:val="none" w:sz="0" w:space="0" w:color="auto"/>
                                <w:left w:val="none" w:sz="0" w:space="0" w:color="auto"/>
                                <w:bottom w:val="none" w:sz="0" w:space="0" w:color="auto"/>
                                <w:right w:val="none" w:sz="0" w:space="0" w:color="auto"/>
                              </w:divBdr>
                              <w:divsChild>
                                <w:div w:id="1565677894">
                                  <w:marLeft w:val="0"/>
                                  <w:marRight w:val="0"/>
                                  <w:marTop w:val="0"/>
                                  <w:marBottom w:val="0"/>
                                  <w:divBdr>
                                    <w:top w:val="none" w:sz="0" w:space="0" w:color="auto"/>
                                    <w:left w:val="none" w:sz="0" w:space="0" w:color="auto"/>
                                    <w:bottom w:val="none" w:sz="0" w:space="0" w:color="auto"/>
                                    <w:right w:val="none" w:sz="0" w:space="0" w:color="auto"/>
                                  </w:divBdr>
                                  <w:divsChild>
                                    <w:div w:id="368116835">
                                      <w:marLeft w:val="0"/>
                                      <w:marRight w:val="0"/>
                                      <w:marTop w:val="0"/>
                                      <w:marBottom w:val="0"/>
                                      <w:divBdr>
                                        <w:top w:val="none" w:sz="0" w:space="0" w:color="auto"/>
                                        <w:left w:val="none" w:sz="0" w:space="0" w:color="auto"/>
                                        <w:bottom w:val="none" w:sz="0" w:space="0" w:color="auto"/>
                                        <w:right w:val="none" w:sz="0" w:space="0" w:color="auto"/>
                                      </w:divBdr>
                                      <w:divsChild>
                                        <w:div w:id="1473252857">
                                          <w:marLeft w:val="0"/>
                                          <w:marRight w:val="0"/>
                                          <w:marTop w:val="0"/>
                                          <w:marBottom w:val="0"/>
                                          <w:divBdr>
                                            <w:top w:val="none" w:sz="0" w:space="0" w:color="auto"/>
                                            <w:left w:val="none" w:sz="0" w:space="0" w:color="auto"/>
                                            <w:bottom w:val="none" w:sz="0" w:space="0" w:color="auto"/>
                                            <w:right w:val="none" w:sz="0" w:space="0" w:color="auto"/>
                                          </w:divBdr>
                                          <w:divsChild>
                                            <w:div w:id="1098409113">
                                              <w:marLeft w:val="0"/>
                                              <w:marRight w:val="0"/>
                                              <w:marTop w:val="0"/>
                                              <w:marBottom w:val="0"/>
                                              <w:divBdr>
                                                <w:top w:val="none" w:sz="0" w:space="0" w:color="auto"/>
                                                <w:left w:val="none" w:sz="0" w:space="0" w:color="auto"/>
                                                <w:bottom w:val="none" w:sz="0" w:space="0" w:color="auto"/>
                                                <w:right w:val="none" w:sz="0" w:space="0" w:color="auto"/>
                                              </w:divBdr>
                                              <w:divsChild>
                                                <w:div w:id="1644651829">
                                                  <w:marLeft w:val="0"/>
                                                  <w:marRight w:val="0"/>
                                                  <w:marTop w:val="0"/>
                                                  <w:marBottom w:val="0"/>
                                                  <w:divBdr>
                                                    <w:top w:val="none" w:sz="0" w:space="0" w:color="auto"/>
                                                    <w:left w:val="none" w:sz="0" w:space="0" w:color="auto"/>
                                                    <w:bottom w:val="none" w:sz="0" w:space="0" w:color="auto"/>
                                                    <w:right w:val="none" w:sz="0" w:space="0" w:color="auto"/>
                                                  </w:divBdr>
                                                  <w:divsChild>
                                                    <w:div w:id="219638297">
                                                      <w:marLeft w:val="0"/>
                                                      <w:marRight w:val="0"/>
                                                      <w:marTop w:val="0"/>
                                                      <w:marBottom w:val="0"/>
                                                      <w:divBdr>
                                                        <w:top w:val="none" w:sz="0" w:space="0" w:color="auto"/>
                                                        <w:left w:val="none" w:sz="0" w:space="0" w:color="auto"/>
                                                        <w:bottom w:val="none" w:sz="0" w:space="0" w:color="auto"/>
                                                        <w:right w:val="none" w:sz="0" w:space="0" w:color="auto"/>
                                                      </w:divBdr>
                                                      <w:divsChild>
                                                        <w:div w:id="1078793895">
                                                          <w:marLeft w:val="0"/>
                                                          <w:marRight w:val="0"/>
                                                          <w:marTop w:val="0"/>
                                                          <w:marBottom w:val="0"/>
                                                          <w:divBdr>
                                                            <w:top w:val="none" w:sz="0" w:space="0" w:color="auto"/>
                                                            <w:left w:val="none" w:sz="0" w:space="0" w:color="auto"/>
                                                            <w:bottom w:val="none" w:sz="0" w:space="0" w:color="auto"/>
                                                            <w:right w:val="none" w:sz="0" w:space="0" w:color="auto"/>
                                                          </w:divBdr>
                                                          <w:divsChild>
                                                            <w:div w:id="1625037160">
                                                              <w:marLeft w:val="0"/>
                                                              <w:marRight w:val="0"/>
                                                              <w:marTop w:val="0"/>
                                                              <w:marBottom w:val="0"/>
                                                              <w:divBdr>
                                                                <w:top w:val="none" w:sz="0" w:space="0" w:color="auto"/>
                                                                <w:left w:val="none" w:sz="0" w:space="0" w:color="auto"/>
                                                                <w:bottom w:val="none" w:sz="0" w:space="0" w:color="auto"/>
                                                                <w:right w:val="none" w:sz="0" w:space="0" w:color="auto"/>
                                                              </w:divBdr>
                                                              <w:divsChild>
                                                                <w:div w:id="1349479988">
                                                                  <w:marLeft w:val="0"/>
                                                                  <w:marRight w:val="0"/>
                                                                  <w:marTop w:val="100"/>
                                                                  <w:marBottom w:val="100"/>
                                                                  <w:divBdr>
                                                                    <w:top w:val="none" w:sz="0" w:space="0" w:color="auto"/>
                                                                    <w:left w:val="none" w:sz="0" w:space="0" w:color="auto"/>
                                                                    <w:bottom w:val="none" w:sz="0" w:space="0" w:color="auto"/>
                                                                    <w:right w:val="none" w:sz="0" w:space="0" w:color="auto"/>
                                                                  </w:divBdr>
                                                                  <w:divsChild>
                                                                    <w:div w:id="658195836">
                                                                      <w:marLeft w:val="0"/>
                                                                      <w:marRight w:val="0"/>
                                                                      <w:marTop w:val="0"/>
                                                                      <w:marBottom w:val="0"/>
                                                                      <w:divBdr>
                                                                        <w:top w:val="none" w:sz="0" w:space="0" w:color="auto"/>
                                                                        <w:left w:val="none" w:sz="0" w:space="0" w:color="auto"/>
                                                                        <w:bottom w:val="none" w:sz="0" w:space="0" w:color="auto"/>
                                                                        <w:right w:val="none" w:sz="0" w:space="0" w:color="auto"/>
                                                                      </w:divBdr>
                                                                      <w:divsChild>
                                                                        <w:div w:id="1246718641">
                                                                          <w:marLeft w:val="0"/>
                                                                          <w:marRight w:val="0"/>
                                                                          <w:marTop w:val="0"/>
                                                                          <w:marBottom w:val="0"/>
                                                                          <w:divBdr>
                                                                            <w:top w:val="none" w:sz="0" w:space="0" w:color="auto"/>
                                                                            <w:left w:val="none" w:sz="0" w:space="0" w:color="auto"/>
                                                                            <w:bottom w:val="none" w:sz="0" w:space="0" w:color="auto"/>
                                                                            <w:right w:val="none" w:sz="0" w:space="0" w:color="auto"/>
                                                                          </w:divBdr>
                                                                          <w:divsChild>
                                                                            <w:div w:id="1588077853">
                                                                              <w:marLeft w:val="0"/>
                                                                              <w:marRight w:val="0"/>
                                                                              <w:marTop w:val="0"/>
                                                                              <w:marBottom w:val="0"/>
                                                                              <w:divBdr>
                                                                                <w:top w:val="none" w:sz="0" w:space="0" w:color="auto"/>
                                                                                <w:left w:val="none" w:sz="0" w:space="0" w:color="auto"/>
                                                                                <w:bottom w:val="none" w:sz="0" w:space="0" w:color="auto"/>
                                                                                <w:right w:val="none" w:sz="0" w:space="0" w:color="auto"/>
                                                                              </w:divBdr>
                                                                              <w:divsChild>
                                                                                <w:div w:id="182041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8874737">
      <w:bodyDiv w:val="1"/>
      <w:marLeft w:val="0"/>
      <w:marRight w:val="0"/>
      <w:marTop w:val="0"/>
      <w:marBottom w:val="0"/>
      <w:divBdr>
        <w:top w:val="none" w:sz="0" w:space="0" w:color="auto"/>
        <w:left w:val="none" w:sz="0" w:space="0" w:color="auto"/>
        <w:bottom w:val="none" w:sz="0" w:space="0" w:color="auto"/>
        <w:right w:val="none" w:sz="0" w:space="0" w:color="auto"/>
      </w:divBdr>
      <w:divsChild>
        <w:div w:id="1211260533">
          <w:marLeft w:val="0"/>
          <w:marRight w:val="0"/>
          <w:marTop w:val="0"/>
          <w:marBottom w:val="0"/>
          <w:divBdr>
            <w:top w:val="none" w:sz="0" w:space="0" w:color="auto"/>
            <w:left w:val="none" w:sz="0" w:space="0" w:color="auto"/>
            <w:bottom w:val="none" w:sz="0" w:space="0" w:color="auto"/>
            <w:right w:val="none" w:sz="0" w:space="0" w:color="auto"/>
          </w:divBdr>
        </w:div>
        <w:div w:id="1633824159">
          <w:marLeft w:val="0"/>
          <w:marRight w:val="0"/>
          <w:marTop w:val="0"/>
          <w:marBottom w:val="0"/>
          <w:divBdr>
            <w:top w:val="none" w:sz="0" w:space="0" w:color="auto"/>
            <w:left w:val="none" w:sz="0" w:space="0" w:color="auto"/>
            <w:bottom w:val="none" w:sz="0" w:space="0" w:color="auto"/>
            <w:right w:val="none" w:sz="0" w:space="0" w:color="auto"/>
          </w:divBdr>
        </w:div>
        <w:div w:id="1338734176">
          <w:marLeft w:val="0"/>
          <w:marRight w:val="0"/>
          <w:marTop w:val="0"/>
          <w:marBottom w:val="0"/>
          <w:divBdr>
            <w:top w:val="none" w:sz="0" w:space="0" w:color="auto"/>
            <w:left w:val="none" w:sz="0" w:space="0" w:color="auto"/>
            <w:bottom w:val="none" w:sz="0" w:space="0" w:color="auto"/>
            <w:right w:val="none" w:sz="0" w:space="0" w:color="auto"/>
          </w:divBdr>
        </w:div>
        <w:div w:id="1737819262">
          <w:marLeft w:val="0"/>
          <w:marRight w:val="0"/>
          <w:marTop w:val="0"/>
          <w:marBottom w:val="0"/>
          <w:divBdr>
            <w:top w:val="none" w:sz="0" w:space="0" w:color="auto"/>
            <w:left w:val="none" w:sz="0" w:space="0" w:color="auto"/>
            <w:bottom w:val="none" w:sz="0" w:space="0" w:color="auto"/>
            <w:right w:val="none" w:sz="0" w:space="0" w:color="auto"/>
          </w:divBdr>
        </w:div>
      </w:divsChild>
    </w:div>
    <w:div w:id="1713192556">
      <w:bodyDiv w:val="1"/>
      <w:marLeft w:val="0"/>
      <w:marRight w:val="0"/>
      <w:marTop w:val="0"/>
      <w:marBottom w:val="0"/>
      <w:divBdr>
        <w:top w:val="none" w:sz="0" w:space="0" w:color="auto"/>
        <w:left w:val="none" w:sz="0" w:space="0" w:color="auto"/>
        <w:bottom w:val="none" w:sz="0" w:space="0" w:color="auto"/>
        <w:right w:val="none" w:sz="0" w:space="0" w:color="auto"/>
      </w:divBdr>
    </w:div>
    <w:div w:id="1723990103">
      <w:bodyDiv w:val="1"/>
      <w:marLeft w:val="0"/>
      <w:marRight w:val="0"/>
      <w:marTop w:val="0"/>
      <w:marBottom w:val="0"/>
      <w:divBdr>
        <w:top w:val="none" w:sz="0" w:space="0" w:color="auto"/>
        <w:left w:val="none" w:sz="0" w:space="0" w:color="auto"/>
        <w:bottom w:val="none" w:sz="0" w:space="0" w:color="auto"/>
        <w:right w:val="none" w:sz="0" w:space="0" w:color="auto"/>
      </w:divBdr>
    </w:div>
    <w:div w:id="1735078895">
      <w:bodyDiv w:val="1"/>
      <w:marLeft w:val="0"/>
      <w:marRight w:val="0"/>
      <w:marTop w:val="0"/>
      <w:marBottom w:val="0"/>
      <w:divBdr>
        <w:top w:val="none" w:sz="0" w:space="0" w:color="auto"/>
        <w:left w:val="none" w:sz="0" w:space="0" w:color="auto"/>
        <w:bottom w:val="none" w:sz="0" w:space="0" w:color="auto"/>
        <w:right w:val="none" w:sz="0" w:space="0" w:color="auto"/>
      </w:divBdr>
    </w:div>
    <w:div w:id="1755853109">
      <w:bodyDiv w:val="1"/>
      <w:marLeft w:val="0"/>
      <w:marRight w:val="0"/>
      <w:marTop w:val="0"/>
      <w:marBottom w:val="0"/>
      <w:divBdr>
        <w:top w:val="none" w:sz="0" w:space="0" w:color="auto"/>
        <w:left w:val="none" w:sz="0" w:space="0" w:color="auto"/>
        <w:bottom w:val="none" w:sz="0" w:space="0" w:color="auto"/>
        <w:right w:val="none" w:sz="0" w:space="0" w:color="auto"/>
      </w:divBdr>
    </w:div>
    <w:div w:id="1756435148">
      <w:bodyDiv w:val="1"/>
      <w:marLeft w:val="0"/>
      <w:marRight w:val="0"/>
      <w:marTop w:val="0"/>
      <w:marBottom w:val="0"/>
      <w:divBdr>
        <w:top w:val="none" w:sz="0" w:space="0" w:color="auto"/>
        <w:left w:val="none" w:sz="0" w:space="0" w:color="auto"/>
        <w:bottom w:val="none" w:sz="0" w:space="0" w:color="auto"/>
        <w:right w:val="none" w:sz="0" w:space="0" w:color="auto"/>
      </w:divBdr>
    </w:div>
    <w:div w:id="1760102017">
      <w:bodyDiv w:val="1"/>
      <w:marLeft w:val="0"/>
      <w:marRight w:val="0"/>
      <w:marTop w:val="0"/>
      <w:marBottom w:val="0"/>
      <w:divBdr>
        <w:top w:val="none" w:sz="0" w:space="0" w:color="auto"/>
        <w:left w:val="none" w:sz="0" w:space="0" w:color="auto"/>
        <w:bottom w:val="none" w:sz="0" w:space="0" w:color="auto"/>
        <w:right w:val="none" w:sz="0" w:space="0" w:color="auto"/>
      </w:divBdr>
    </w:div>
    <w:div w:id="1801726504">
      <w:bodyDiv w:val="1"/>
      <w:marLeft w:val="0"/>
      <w:marRight w:val="0"/>
      <w:marTop w:val="0"/>
      <w:marBottom w:val="0"/>
      <w:divBdr>
        <w:top w:val="none" w:sz="0" w:space="0" w:color="auto"/>
        <w:left w:val="none" w:sz="0" w:space="0" w:color="auto"/>
        <w:bottom w:val="none" w:sz="0" w:space="0" w:color="auto"/>
        <w:right w:val="none" w:sz="0" w:space="0" w:color="auto"/>
      </w:divBdr>
    </w:div>
    <w:div w:id="1872766228">
      <w:bodyDiv w:val="1"/>
      <w:marLeft w:val="0"/>
      <w:marRight w:val="0"/>
      <w:marTop w:val="0"/>
      <w:marBottom w:val="0"/>
      <w:divBdr>
        <w:top w:val="none" w:sz="0" w:space="0" w:color="auto"/>
        <w:left w:val="none" w:sz="0" w:space="0" w:color="auto"/>
        <w:bottom w:val="none" w:sz="0" w:space="0" w:color="auto"/>
        <w:right w:val="none" w:sz="0" w:space="0" w:color="auto"/>
      </w:divBdr>
      <w:divsChild>
        <w:div w:id="1543588646">
          <w:marLeft w:val="0"/>
          <w:marRight w:val="0"/>
          <w:marTop w:val="0"/>
          <w:marBottom w:val="0"/>
          <w:divBdr>
            <w:top w:val="none" w:sz="0" w:space="0" w:color="auto"/>
            <w:left w:val="none" w:sz="0" w:space="0" w:color="auto"/>
            <w:bottom w:val="none" w:sz="0" w:space="0" w:color="auto"/>
            <w:right w:val="none" w:sz="0" w:space="0" w:color="auto"/>
          </w:divBdr>
        </w:div>
        <w:div w:id="89812403">
          <w:marLeft w:val="0"/>
          <w:marRight w:val="0"/>
          <w:marTop w:val="0"/>
          <w:marBottom w:val="0"/>
          <w:divBdr>
            <w:top w:val="none" w:sz="0" w:space="0" w:color="auto"/>
            <w:left w:val="none" w:sz="0" w:space="0" w:color="auto"/>
            <w:bottom w:val="none" w:sz="0" w:space="0" w:color="auto"/>
            <w:right w:val="none" w:sz="0" w:space="0" w:color="auto"/>
          </w:divBdr>
        </w:div>
        <w:div w:id="309988249">
          <w:marLeft w:val="0"/>
          <w:marRight w:val="0"/>
          <w:marTop w:val="0"/>
          <w:marBottom w:val="0"/>
          <w:divBdr>
            <w:top w:val="none" w:sz="0" w:space="0" w:color="auto"/>
            <w:left w:val="none" w:sz="0" w:space="0" w:color="auto"/>
            <w:bottom w:val="none" w:sz="0" w:space="0" w:color="auto"/>
            <w:right w:val="none" w:sz="0" w:space="0" w:color="auto"/>
          </w:divBdr>
        </w:div>
        <w:div w:id="2065445597">
          <w:marLeft w:val="0"/>
          <w:marRight w:val="0"/>
          <w:marTop w:val="0"/>
          <w:marBottom w:val="0"/>
          <w:divBdr>
            <w:top w:val="none" w:sz="0" w:space="0" w:color="auto"/>
            <w:left w:val="none" w:sz="0" w:space="0" w:color="auto"/>
            <w:bottom w:val="none" w:sz="0" w:space="0" w:color="auto"/>
            <w:right w:val="none" w:sz="0" w:space="0" w:color="auto"/>
          </w:divBdr>
        </w:div>
      </w:divsChild>
    </w:div>
    <w:div w:id="1889605175">
      <w:bodyDiv w:val="1"/>
      <w:marLeft w:val="0"/>
      <w:marRight w:val="0"/>
      <w:marTop w:val="0"/>
      <w:marBottom w:val="0"/>
      <w:divBdr>
        <w:top w:val="none" w:sz="0" w:space="0" w:color="auto"/>
        <w:left w:val="none" w:sz="0" w:space="0" w:color="auto"/>
        <w:bottom w:val="none" w:sz="0" w:space="0" w:color="auto"/>
        <w:right w:val="none" w:sz="0" w:space="0" w:color="auto"/>
      </w:divBdr>
    </w:div>
    <w:div w:id="1890653850">
      <w:bodyDiv w:val="1"/>
      <w:marLeft w:val="0"/>
      <w:marRight w:val="0"/>
      <w:marTop w:val="0"/>
      <w:marBottom w:val="0"/>
      <w:divBdr>
        <w:top w:val="none" w:sz="0" w:space="0" w:color="auto"/>
        <w:left w:val="none" w:sz="0" w:space="0" w:color="auto"/>
        <w:bottom w:val="none" w:sz="0" w:space="0" w:color="auto"/>
        <w:right w:val="none" w:sz="0" w:space="0" w:color="auto"/>
      </w:divBdr>
    </w:div>
    <w:div w:id="1903129549">
      <w:bodyDiv w:val="1"/>
      <w:marLeft w:val="0"/>
      <w:marRight w:val="0"/>
      <w:marTop w:val="0"/>
      <w:marBottom w:val="0"/>
      <w:divBdr>
        <w:top w:val="none" w:sz="0" w:space="0" w:color="auto"/>
        <w:left w:val="none" w:sz="0" w:space="0" w:color="auto"/>
        <w:bottom w:val="none" w:sz="0" w:space="0" w:color="auto"/>
        <w:right w:val="none" w:sz="0" w:space="0" w:color="auto"/>
      </w:divBdr>
    </w:div>
    <w:div w:id="1928611723">
      <w:bodyDiv w:val="1"/>
      <w:marLeft w:val="0"/>
      <w:marRight w:val="0"/>
      <w:marTop w:val="0"/>
      <w:marBottom w:val="0"/>
      <w:divBdr>
        <w:top w:val="none" w:sz="0" w:space="0" w:color="auto"/>
        <w:left w:val="none" w:sz="0" w:space="0" w:color="auto"/>
        <w:bottom w:val="none" w:sz="0" w:space="0" w:color="auto"/>
        <w:right w:val="none" w:sz="0" w:space="0" w:color="auto"/>
      </w:divBdr>
    </w:div>
    <w:div w:id="1940140692">
      <w:bodyDiv w:val="1"/>
      <w:marLeft w:val="0"/>
      <w:marRight w:val="0"/>
      <w:marTop w:val="0"/>
      <w:marBottom w:val="0"/>
      <w:divBdr>
        <w:top w:val="none" w:sz="0" w:space="0" w:color="auto"/>
        <w:left w:val="none" w:sz="0" w:space="0" w:color="auto"/>
        <w:bottom w:val="none" w:sz="0" w:space="0" w:color="auto"/>
        <w:right w:val="none" w:sz="0" w:space="0" w:color="auto"/>
      </w:divBdr>
    </w:div>
    <w:div w:id="1995529612">
      <w:bodyDiv w:val="1"/>
      <w:marLeft w:val="0"/>
      <w:marRight w:val="0"/>
      <w:marTop w:val="0"/>
      <w:marBottom w:val="0"/>
      <w:divBdr>
        <w:top w:val="none" w:sz="0" w:space="0" w:color="auto"/>
        <w:left w:val="none" w:sz="0" w:space="0" w:color="auto"/>
        <w:bottom w:val="none" w:sz="0" w:space="0" w:color="auto"/>
        <w:right w:val="none" w:sz="0" w:space="0" w:color="auto"/>
      </w:divBdr>
    </w:div>
    <w:div w:id="2042048424">
      <w:bodyDiv w:val="1"/>
      <w:marLeft w:val="0"/>
      <w:marRight w:val="0"/>
      <w:marTop w:val="0"/>
      <w:marBottom w:val="0"/>
      <w:divBdr>
        <w:top w:val="none" w:sz="0" w:space="0" w:color="auto"/>
        <w:left w:val="none" w:sz="0" w:space="0" w:color="auto"/>
        <w:bottom w:val="none" w:sz="0" w:space="0" w:color="auto"/>
        <w:right w:val="none" w:sz="0" w:space="0" w:color="auto"/>
      </w:divBdr>
    </w:div>
    <w:div w:id="2042587436">
      <w:bodyDiv w:val="1"/>
      <w:marLeft w:val="0"/>
      <w:marRight w:val="0"/>
      <w:marTop w:val="0"/>
      <w:marBottom w:val="0"/>
      <w:divBdr>
        <w:top w:val="none" w:sz="0" w:space="0" w:color="auto"/>
        <w:left w:val="none" w:sz="0" w:space="0" w:color="auto"/>
        <w:bottom w:val="none" w:sz="0" w:space="0" w:color="auto"/>
        <w:right w:val="none" w:sz="0" w:space="0" w:color="auto"/>
      </w:divBdr>
    </w:div>
    <w:div w:id="2049142745">
      <w:bodyDiv w:val="1"/>
      <w:marLeft w:val="0"/>
      <w:marRight w:val="0"/>
      <w:marTop w:val="0"/>
      <w:marBottom w:val="0"/>
      <w:divBdr>
        <w:top w:val="none" w:sz="0" w:space="0" w:color="auto"/>
        <w:left w:val="none" w:sz="0" w:space="0" w:color="auto"/>
        <w:bottom w:val="none" w:sz="0" w:space="0" w:color="auto"/>
        <w:right w:val="none" w:sz="0" w:space="0" w:color="auto"/>
      </w:divBdr>
      <w:divsChild>
        <w:div w:id="340282230">
          <w:marLeft w:val="0"/>
          <w:marRight w:val="0"/>
          <w:marTop w:val="0"/>
          <w:marBottom w:val="0"/>
          <w:divBdr>
            <w:top w:val="none" w:sz="0" w:space="0" w:color="auto"/>
            <w:left w:val="none" w:sz="0" w:space="0" w:color="auto"/>
            <w:bottom w:val="none" w:sz="0" w:space="0" w:color="auto"/>
            <w:right w:val="none" w:sz="0" w:space="0" w:color="auto"/>
          </w:divBdr>
        </w:div>
      </w:divsChild>
    </w:div>
    <w:div w:id="2140413533">
      <w:bodyDiv w:val="1"/>
      <w:marLeft w:val="0"/>
      <w:marRight w:val="0"/>
      <w:marTop w:val="0"/>
      <w:marBottom w:val="0"/>
      <w:divBdr>
        <w:top w:val="none" w:sz="0" w:space="0" w:color="auto"/>
        <w:left w:val="none" w:sz="0" w:space="0" w:color="auto"/>
        <w:bottom w:val="none" w:sz="0" w:space="0" w:color="auto"/>
        <w:right w:val="none" w:sz="0" w:space="0" w:color="auto"/>
      </w:divBdr>
      <w:divsChild>
        <w:div w:id="762260193">
          <w:marLeft w:val="0"/>
          <w:marRight w:val="0"/>
          <w:marTop w:val="0"/>
          <w:marBottom w:val="0"/>
          <w:divBdr>
            <w:top w:val="none" w:sz="0" w:space="0" w:color="auto"/>
            <w:left w:val="none" w:sz="0" w:space="0" w:color="auto"/>
            <w:bottom w:val="none" w:sz="0" w:space="0" w:color="auto"/>
            <w:right w:val="none" w:sz="0" w:space="0" w:color="auto"/>
          </w:divBdr>
        </w:div>
      </w:divsChild>
    </w:div>
    <w:div w:id="2140956964">
      <w:bodyDiv w:val="1"/>
      <w:marLeft w:val="0"/>
      <w:marRight w:val="0"/>
      <w:marTop w:val="0"/>
      <w:marBottom w:val="0"/>
      <w:divBdr>
        <w:top w:val="none" w:sz="0" w:space="0" w:color="auto"/>
        <w:left w:val="none" w:sz="0" w:space="0" w:color="auto"/>
        <w:bottom w:val="none" w:sz="0" w:space="0" w:color="auto"/>
        <w:right w:val="none" w:sz="0" w:space="0" w:color="auto"/>
      </w:divBdr>
      <w:divsChild>
        <w:div w:id="9440218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agriculture.gov.au/abares/research-topics/agricultural-outlook/december-2024" TargetMode="External"/><Relationship Id="rId39" Type="http://schemas.openxmlformats.org/officeDocument/2006/relationships/hyperlink" Target="https://doi.org/10.1073/pnas.1915737116" TargetMode="External"/><Relationship Id="rId21" Type="http://schemas.openxmlformats.org/officeDocument/2006/relationships/header" Target="header6.xml"/><Relationship Id="rId34" Type="http://schemas.openxmlformats.org/officeDocument/2006/relationships/hyperlink" Target="https://www.abs.gov.au/statistics/economy/price-indexes-and-inflation/consumer-price-index-australia" TargetMode="External"/><Relationship Id="rId42" Type="http://schemas.openxmlformats.org/officeDocument/2006/relationships/hyperlink" Target="https://doi.org/10.1111/zph.12032" TargetMode="Externa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woah.org/en/disease/bovine-spongiform-encephalopath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bs.gov.au/statistics/industry/agriculture/australian-agriculture-livestock/2022-23" TargetMode="External"/><Relationship Id="rId32" Type="http://schemas.openxmlformats.org/officeDocument/2006/relationships/image" Target="media/image4.png"/><Relationship Id="rId37" Type="http://schemas.openxmlformats.org/officeDocument/2006/relationships/hyperlink" Target="https://doi.org/10.25814/82b5-tg66" TargetMode="External"/><Relationship Id="rId40" Type="http://schemas.openxmlformats.org/officeDocument/2006/relationships/hyperlink" Target="https://www.youtube.com/watch?v=vXzdhjiHAuc" TargetMode="External"/><Relationship Id="rId45" Type="http://schemas.openxmlformats.org/officeDocument/2006/relationships/hyperlink" Target="https://www.woah.org/en/disease/bovine-spongiform-encephalopathy/"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chrome-extension://efaidnbmnnnibpcajpcglclefindmkaj/https:/daff.ent.sirsidynix.net.au/client/en_AU/search/asset/1036641/0/00_AgCommodities202412_v1.1.0.pdf" TargetMode="External"/><Relationship Id="rId28" Type="http://schemas.openxmlformats.org/officeDocument/2006/relationships/image" Target="media/image2.png"/><Relationship Id="rId36" Type="http://schemas.openxmlformats.org/officeDocument/2006/relationships/hyperlink" Target="https://daff.ent.sirsidynix.net.au/client/en_AU/search/asset/1034541/0" TargetMode="Externa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image" Target="media/image3.png"/><Relationship Id="rId44" Type="http://schemas.openxmlformats.org/officeDocument/2006/relationships/hyperlink" Target="https://www.woah.org/app/uploads/2022/02/a-report-ahg-rev-bse-impact-assessment-june2021.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yperlink" Target="https://www.woah.org/en/disease/bovine-spongiform-encephalopathy/" TargetMode="External"/><Relationship Id="rId30" Type="http://schemas.openxmlformats.org/officeDocument/2006/relationships/hyperlink" Target="https://www.woah.org/en/disease/bovine-spongiform-encephalopathy/" TargetMode="External"/><Relationship Id="rId35" Type="http://schemas.openxmlformats.org/officeDocument/2006/relationships/hyperlink" Target="https://www.abs.gov.au/statistics/economy/price-indexes-and-inflation/consumer-price-index-australia" TargetMode="External"/><Relationship Id="rId43" Type="http://schemas.openxmlformats.org/officeDocument/2006/relationships/hyperlink" Target="https://www.gtap.agecon.purdue.edu/uploads/resources/download/4132.pdf" TargetMode="Externa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1.png"/><Relationship Id="rId25" Type="http://schemas.openxmlformats.org/officeDocument/2006/relationships/hyperlink" Target="https://www.mla.com.au/news-and-events/industry-news/national-slaughter-and-production-overview-for-202324/" TargetMode="External"/><Relationship Id="rId33" Type="http://schemas.openxmlformats.org/officeDocument/2006/relationships/hyperlink" Target="https://www.abs.gov.au/statistics/economy/price-indexes-and-inflation/consumer-price-index-australia" TargetMode="External"/><Relationship Id="rId38" Type="http://schemas.openxmlformats.org/officeDocument/2006/relationships/hyperlink" Target="https://www.cdc.gov/mad-cow/php/animal-health/index.html" TargetMode="External"/><Relationship Id="rId46" Type="http://schemas.openxmlformats.org/officeDocument/2006/relationships/hyperlink" Target="https://www.woah.org/en/what-we-do/standards/codes-and-manuals/terrestrial-code-online-access/" TargetMode="External"/><Relationship Id="rId20" Type="http://schemas.openxmlformats.org/officeDocument/2006/relationships/footer" Target="footer3.xml"/><Relationship Id="rId41" Type="http://schemas.openxmlformats.org/officeDocument/2006/relationships/hyperlink" Target="https://www.gtap.agecon.purdue.edu/uploads/resources/download/880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D3FE1EF8789C4E89E4318DDC4F437C" ma:contentTypeVersion="15" ma:contentTypeDescription="Create a new document." ma:contentTypeScope="" ma:versionID="a432e7c769474c2b3203871a013cabd5">
  <xsd:schema xmlns:xsd="http://www.w3.org/2001/XMLSchema" xmlns:xs="http://www.w3.org/2001/XMLSchema" xmlns:p="http://schemas.microsoft.com/office/2006/metadata/properties" xmlns:ns3="5cedb3ea-7b8d-46b2-ab6b-eae76e60e4ed" xmlns:ns4="0c771c12-f69f-40d5-aaa3-b2eb8eca9c86" targetNamespace="http://schemas.microsoft.com/office/2006/metadata/properties" ma:root="true" ma:fieldsID="f3a7c0ce55b42d6fd9298977cfdd86f3" ns3:_="" ns4:_="">
    <xsd:import namespace="5cedb3ea-7b8d-46b2-ab6b-eae76e60e4ed"/>
    <xsd:import namespace="0c771c12-f69f-40d5-aaa3-b2eb8eca9c86"/>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db3ea-7b8d-46b2-ab6b-eae76e60e4ed"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771c12-f69f-40d5-aaa3-b2eb8eca9c86"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5cedb3ea-7b8d-46b2-ab6b-eae76e60e4ed"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92DCA-5063-4B41-814D-162FD8A20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db3ea-7b8d-46b2-ab6b-eae76e60e4ed"/>
    <ds:schemaRef ds:uri="0c771c12-f69f-40d5-aaa3-b2eb8eca9c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AF6D7D-F100-4D03-BCA8-FF983AE93923}">
  <ds:schemaRefs>
    <ds:schemaRef ds:uri="http://schemas.microsoft.com/sharepoint/v3/contenttype/forms"/>
  </ds:schemaRefs>
</ds:datastoreItem>
</file>

<file path=customXml/itemProps3.xml><?xml version="1.0" encoding="utf-8"?>
<ds:datastoreItem xmlns:ds="http://schemas.openxmlformats.org/officeDocument/2006/customXml" ds:itemID="{074A7AC0-CA5E-483F-8B62-1A53660F3B0F}">
  <ds:schemaRefs>
    <ds:schemaRef ds:uri="http://schemas.openxmlformats.org/officeDocument/2006/bibliography"/>
  </ds:schemaRefs>
</ds:datastoreItem>
</file>

<file path=customXml/itemProps4.xml><?xml version="1.0" encoding="utf-8"?>
<ds:datastoreItem xmlns:ds="http://schemas.openxmlformats.org/officeDocument/2006/customXml" ds:itemID="{47F35E75-558E-492D-AE7F-E2207940D9C3}">
  <ds:schemaRefs>
    <ds:schemaRef ds:uri="http://schemas.microsoft.com/office/2006/metadata/properties"/>
    <ds:schemaRef ds:uri="http://schemas.microsoft.com/office/infopath/2007/PartnerControls"/>
    <ds:schemaRef ds:uri="5cedb3ea-7b8d-46b2-ab6b-eae76e60e4ed"/>
  </ds:schemaRefs>
</ds:datastoreItem>
</file>

<file path=customXml/itemProps5.xml><?xml version="1.0" encoding="utf-8"?>
<ds:datastoreItem xmlns:ds="http://schemas.openxmlformats.org/officeDocument/2006/customXml" ds:itemID="{5BAA47EC-C895-4B22-8CB6-26C60A9B3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55</Pages>
  <Words>16466</Words>
  <Characters>93858</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110104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fallon.mody@unimelb.edu.au</dc:creator>
  <cp:keywords/>
  <dc:description/>
  <cp:lastModifiedBy>Susan Hester</cp:lastModifiedBy>
  <cp:revision>14</cp:revision>
  <cp:lastPrinted>2025-08-13T02:48:00Z</cp:lastPrinted>
  <dcterms:created xsi:type="dcterms:W3CDTF">2025-08-14T07:03:00Z</dcterms:created>
  <dcterms:modified xsi:type="dcterms:W3CDTF">2025-08-22T05:09:00Z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ef252cd4-01e1-4a53-b3ff-ac627c1d3a42</vt:lpwstr>
  </property>
  <property fmtid="{D5CDD505-2E9C-101B-9397-08002B2CF9AE}" pid="3" name="PSPFClassification">
    <vt:lpwstr>Do Not Mark</vt:lpwstr>
  </property>
  <property fmtid="{D5CDD505-2E9C-101B-9397-08002B2CF9AE}" pid="4" name="ContentTypeId">
    <vt:lpwstr>0x01010080D3FE1EF8789C4E89E4318DDC4F437C</vt:lpwstr>
  </property>
  <property fmtid="{D5CDD505-2E9C-101B-9397-08002B2CF9AE}" pid="5" name="ClassificationContentMarkingHeaderShapeIds">
    <vt:lpwstr>5bda56f4,a20516e,4ae024e5,34339da8,5a87fd21,1a2c0088</vt:lpwstr>
  </property>
  <property fmtid="{D5CDD505-2E9C-101B-9397-08002B2CF9AE}" pid="6" name="ClassificationContentMarkingHeaderFontProps">
    <vt:lpwstr>#ff0000,12,Calibri</vt:lpwstr>
  </property>
  <property fmtid="{D5CDD505-2E9C-101B-9397-08002B2CF9AE}" pid="7" name="ClassificationContentMarkingHeaderText">
    <vt:lpwstr>UNOFFICIAL</vt:lpwstr>
  </property>
  <property fmtid="{D5CDD505-2E9C-101B-9397-08002B2CF9AE}" pid="8" name="ClassificationContentMarkingFooterShapeIds">
    <vt:lpwstr>5a849eb9,79612a04,6509c9e7,4d146b93,1f9b1629,fdd4ff9</vt:lpwstr>
  </property>
  <property fmtid="{D5CDD505-2E9C-101B-9397-08002B2CF9AE}" pid="9" name="ClassificationContentMarkingFooterFontProps">
    <vt:lpwstr>#ff0000,12,Calibri</vt:lpwstr>
  </property>
  <property fmtid="{D5CDD505-2E9C-101B-9397-08002B2CF9AE}" pid="10" name="ClassificationContentMarkingFooterText">
    <vt:lpwstr>UNOFFICIAL</vt:lpwstr>
  </property>
  <property fmtid="{D5CDD505-2E9C-101B-9397-08002B2CF9AE}" pid="11" name="MSIP_Label_262ab6a2-6cf3-47f0-87e7-1a2dd31313d2_Enabled">
    <vt:lpwstr>true</vt:lpwstr>
  </property>
  <property fmtid="{D5CDD505-2E9C-101B-9397-08002B2CF9AE}" pid="12" name="MSIP_Label_262ab6a2-6cf3-47f0-87e7-1a2dd31313d2_SetDate">
    <vt:lpwstr>2025-01-21T04:29:31Z</vt:lpwstr>
  </property>
  <property fmtid="{D5CDD505-2E9C-101B-9397-08002B2CF9AE}" pid="13" name="MSIP_Label_262ab6a2-6cf3-47f0-87e7-1a2dd31313d2_Method">
    <vt:lpwstr>Privileged</vt:lpwstr>
  </property>
  <property fmtid="{D5CDD505-2E9C-101B-9397-08002B2CF9AE}" pid="14" name="MSIP_Label_262ab6a2-6cf3-47f0-87e7-1a2dd31313d2_Name">
    <vt:lpwstr>UNOFFICIAL</vt:lpwstr>
  </property>
  <property fmtid="{D5CDD505-2E9C-101B-9397-08002B2CF9AE}" pid="15" name="MSIP_Label_262ab6a2-6cf3-47f0-87e7-1a2dd31313d2_SiteId">
    <vt:lpwstr>2be67eb7-400c-4b3f-a5a1-1258c0da0696</vt:lpwstr>
  </property>
  <property fmtid="{D5CDD505-2E9C-101B-9397-08002B2CF9AE}" pid="16" name="MSIP_Label_262ab6a2-6cf3-47f0-87e7-1a2dd31313d2_ActionId">
    <vt:lpwstr>626baf7f-e796-4415-b5aa-e17f8edb57b5</vt:lpwstr>
  </property>
  <property fmtid="{D5CDD505-2E9C-101B-9397-08002B2CF9AE}" pid="17" name="MSIP_Label_262ab6a2-6cf3-47f0-87e7-1a2dd31313d2_ContentBits">
    <vt:lpwstr>3</vt:lpwstr>
  </property>
</Properties>
</file>